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204DD">
      <w:pPr>
        <w:spacing w:line="360" w:lineRule="exact"/>
        <w:rPr>
          <w:rFonts w:hint="eastAsia" w:cs="黑体" w:asciiTheme="minorEastAsia" w:hAnsiTheme="min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A1B2077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2024年度南华大学附属南华医院</w:t>
      </w:r>
    </w:p>
    <w:p w14:paraId="2D88F654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整体支出绩效自评报告</w:t>
      </w:r>
    </w:p>
    <w:p w14:paraId="0A5F0A88">
      <w:pPr>
        <w:pStyle w:val="2"/>
        <w:rPr>
          <w:rFonts w:hint="eastAsia"/>
          <w:lang w:val="en-US" w:eastAsia="zh-CN"/>
        </w:rPr>
      </w:pPr>
    </w:p>
    <w:p w14:paraId="1BBCA9E5">
      <w:pPr>
        <w:numPr>
          <w:ilvl w:val="0"/>
          <w:numId w:val="1"/>
        </w:numPr>
        <w:spacing w:line="600" w:lineRule="exact"/>
        <w:ind w:firstLine="640" w:firstLineChars="200"/>
        <w:rPr>
          <w:rFonts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预算支出基本情况</w:t>
      </w:r>
    </w:p>
    <w:p w14:paraId="4F753253">
      <w:pPr>
        <w:numPr>
          <w:numId w:val="0"/>
        </w:numPr>
        <w:spacing w:line="600" w:lineRule="exact"/>
        <w:ind w:firstLine="321" w:firstLineChars="100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（一）预算支出概况。</w:t>
      </w:r>
    </w:p>
    <w:p w14:paraId="597146F2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拨款收入年初预算收入3829.28万元，全年预算收入4595.24万元，其中一般公共预算收入4128.43万元，2023年年末结转结余466.81万元。2024年财政拨款决算支出4571.86万元，执行率99.49%，其中基本支出3024.03万元，项目支出1547.83万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中央财政项目收入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315万元，决算支出315万元，执行率100%，其中卫生健康人才培养233万元，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公立医院改革补助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82万元。2024年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财政批复省级项目预算共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笔，合计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786.41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决算支出769.32万元，执行率97.83%。</w:t>
      </w:r>
    </w:p>
    <w:p w14:paraId="033FFF05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（二）预算资金使用管理情况。</w:t>
      </w:r>
    </w:p>
    <w:p w14:paraId="0EA23CC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对收到的专项资金由财务部门进行统筹，相关业务部门进行项目管理，相关的配套资金在财政资金下达时同时到位。在专项资金的使用上，根据医院相关财务制度及专项实施要求，严格按照规定进行会计核算，加强专项资金的财务管理及使用监督管理，所有专项资金本着“专款专用”的原则，切实发挥专项资金的使用效益，各项资金均按计划使用，无浪费行为，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-SA"/>
        </w:rPr>
        <w:t>不随意调整变更资金用途或者挪作他用，确保资金不偏离绩效目标。</w:t>
      </w:r>
    </w:p>
    <w:p w14:paraId="13655AC9">
      <w:pPr>
        <w:numPr>
          <w:ilvl w:val="0"/>
          <w:numId w:val="2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预算支出绩效目标完成程度。</w:t>
      </w:r>
    </w:p>
    <w:p w14:paraId="044A4098">
      <w:pPr>
        <w:spacing w:line="600" w:lineRule="exact"/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年预算项目旨在争取财政支持加强人才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力度，推进省级医疗中心和区域医疗中心建设，以科研助力专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提高核心竞争力。继续实施改善医疗服务行动计划，优化就医流程，提升医疗服务质量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以国家公立医院绩效考核指标为抓手，完善医院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考核指标体系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项目负责人的组织下，202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年基本达到了预期绩效目标，医院的医疗服务能力与科研能力稳步提高，患者与职工的满意度也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持续上升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AC9B089">
      <w:pPr>
        <w:numPr>
          <w:ilvl w:val="0"/>
          <w:numId w:val="3"/>
        </w:num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绩效评价工作情况</w:t>
      </w:r>
    </w:p>
    <w:p w14:paraId="58170F0E">
      <w:pPr>
        <w:pStyle w:val="2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绩效评价工作中，由院领导进行统筹部署，各项目负责的业务科室进行组织，财务提供有效真实的项目资金使用情况，结合项目开展进度综合客观地进行绩效评价，以“提质、增效、降耗”为核心，全面优化绩效评价体系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质量、运营效率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以及职工与患者满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意度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大维度，建立了一套科学的综合考评机制。</w:t>
      </w:r>
    </w:p>
    <w:p w14:paraId="78538277">
      <w:pPr>
        <w:numPr>
          <w:ilvl w:val="0"/>
          <w:numId w:val="3"/>
        </w:num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预算支出主要绩效及评价结论</w:t>
      </w:r>
    </w:p>
    <w:p w14:paraId="401D0F71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年度整体支出绩效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中，主要涉及数量、质量、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成本、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社会效益、可持续影响、满意度等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方面的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指标。具体情况如下：202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年医疗服务收入（不含药品、耗材、检查、化验收入）占公立医院医疗收入的比例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32.8%，职工和患者满意度较上年均有所上升。公立医院平均住院日9.38天，公立医院每门急诊人次平均收费水平373.93元，较上年均有所下降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；医院开展了一系列新技术新项目，医疗服务能力及科研能力均较上年度有所提升，学术影响力进一步扩大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总体来看，预算支出的绩效目标基本完成。</w:t>
      </w:r>
    </w:p>
    <w:p w14:paraId="406ECEF4"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四、绩效评价指标分析</w:t>
      </w:r>
    </w:p>
    <w:p w14:paraId="42C3192E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1.住院医师规范化培训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2024年财政拨款294万元，执行率99.31%，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年医院规培人员共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人，共使用资金2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万元，2023年住院医师规范化培训结业考核合格率为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95.18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%，规培学员人数较上年度有所提高，基本完成了绩效目标。</w:t>
      </w:r>
    </w:p>
    <w:p w14:paraId="4ED64F59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2.卫生科研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。财政专项资金1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执行率100%，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该项目完成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授权专利1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篇，发表论文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篇。</w:t>
      </w:r>
    </w:p>
    <w:p w14:paraId="4F73CED6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公立医院改革补助项目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。收到财政补助资金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执行率100%。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百元医疗收入的医疗费用（不含药品）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98.18元，公立医院每床日平均收费水平增长比例4.76%，均较上年有所下降。</w:t>
      </w:r>
    </w:p>
    <w:p w14:paraId="1CD335F7">
      <w:pPr>
        <w:spacing w:line="600" w:lineRule="exact"/>
        <w:ind w:firstLine="64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4.省属公立医院修缮和设备购置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财政拨款500万元，执行率100%。总体目标为了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适应医院发展需要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弥补了放射领域先进设备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的缺失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，提升诊断准确率，满足行业标准要求，支撑科研攻关。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数量指标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设备开机率≥95%，检查人次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94人，采购完成率100%。</w:t>
      </w:r>
    </w:p>
    <w:p w14:paraId="0363DA24">
      <w:pPr>
        <w:spacing w:line="600" w:lineRule="exact"/>
        <w:ind w:firstLine="640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创新型省份建设专项。202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年医院收到财政资金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44.41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执行率81.96%。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用于进一步提高医疗及科研能力，目前该项目正在积极开展中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9BD19A5">
      <w:pPr>
        <w:spacing w:line="600" w:lineRule="exact"/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高层次人才培养项目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年收到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财政拨款30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执行率100%，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省级以上项目获批4项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参与或举办省级以上学术交流会议3次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发表论文13篇，其中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SCI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省级科技进步奖一项，湖南医学科技奖一项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培养研究生10名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8295DC4">
      <w:pPr>
        <w:spacing w:line="600" w:lineRule="exact"/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.医疗服务与保障能力提升补助资金（中医药事业传承与发展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财政拨款5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执行率100%。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成功获批2025年湖南省自然科学基金面上项目1项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完成2024年度中医药高层次专题研修班学习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特色技术。</w:t>
      </w:r>
    </w:p>
    <w:p w14:paraId="192C9BC3"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五、主要经验及做法、存在的问题及原因分析</w:t>
      </w:r>
    </w:p>
    <w:p w14:paraId="5E7F1CD7">
      <w:pPr>
        <w:numPr>
          <w:numId w:val="0"/>
        </w:numPr>
        <w:spacing w:line="60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预算中存在追加安排，部分资金下达时间偏晚，往往集中于下半年甚至年底，导致财政项目资金支付周期紧张，个别项目形成较多结余；预算绩效目标的设定与实际执行衔接不够紧密，个别指标设置不够科学，影响绩效监控和最终评价效果；部分项目资金使用进度不均衡，前期执行偏慢、后期集中支付，影响了资金使用效益和项目推进效率。</w:t>
      </w:r>
    </w:p>
    <w:p w14:paraId="7FBAD97A">
      <w:pPr>
        <w:numPr>
          <w:ilvl w:val="0"/>
          <w:numId w:val="4"/>
        </w:num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有关建议</w:t>
      </w:r>
    </w:p>
    <w:p w14:paraId="0A494903">
      <w:pPr>
        <w:pStyle w:val="8"/>
        <w:spacing w:line="600" w:lineRule="exact"/>
        <w:ind w:firstLine="640" w:firstLineChars="200"/>
        <w:rPr>
          <w:sz w:val="72"/>
          <w:szCs w:val="7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强化预算管理，尤其加强对追加预算资金的计划性和执行管控，推动资金及时形成实际支出，切实提高资金使用效率；二是对项目资金实施从预算编制、分配拨付到使用结算的全过程跟踪问效，建立贯穿项目周期的预算管理考核机制；三是完善绩效目标设定和绩效监控机制，增强目标的可操作性和与实际工作的匹配度，强化绩效评价结果应用。</w:t>
      </w:r>
      <w:bookmarkStart w:id="0" w:name="_GoBack"/>
      <w:bookmarkEnd w:id="0"/>
    </w:p>
    <w:p w14:paraId="7C44C4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36A2C"/>
    <w:multiLevelType w:val="singleLevel"/>
    <w:tmpl w:val="B9436A2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C2D2641"/>
    <w:multiLevelType w:val="singleLevel"/>
    <w:tmpl w:val="CC2D26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E684829"/>
    <w:multiLevelType w:val="singleLevel"/>
    <w:tmpl w:val="DE68482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787016E"/>
    <w:multiLevelType w:val="singleLevel"/>
    <w:tmpl w:val="E78701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53188"/>
    <w:rsid w:val="16201C85"/>
    <w:rsid w:val="389D76B7"/>
    <w:rsid w:val="4065302B"/>
    <w:rsid w:val="489A776F"/>
    <w:rsid w:val="4A940469"/>
    <w:rsid w:val="4C953188"/>
    <w:rsid w:val="58910AD8"/>
    <w:rsid w:val="7D20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2025-09-17T01:32:00Z</dcterms:created>
  <dc:creator>YUEYANLIN</dc:creator>
  <cp:lastModifiedBy>YUEYANLIN</cp:lastModifiedBy>
  <dcterms:modified xsi:type="dcterms:W3CDTF">2025-09-18T02:40:10Z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464A4462604D46948F21ACBB91597CF2_13</vt:lpwstr>
  </property>
  <property fmtid="{D5CDD505-2E9C-101B-9397-08002B2CF9AE}" pid="4" name="KSOTemplateDocerSaveRecord">
    <vt:lpwstr>eyJoZGlkIjoiMDNiOWRlNjVlMGIzNDgzNWIxZDM0MGM4MmUxZDMyOWYiLCJ1c2VySWQiOiIyMjM0NjE0NjIifQ==</vt:lpwstr>
  </property>
</Properties>
</file>