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E9D83">
      <w:pPr>
        <w:pStyle w:val="9"/>
        <w:jc w:val="center"/>
        <w:rPr>
          <w:sz w:val="56"/>
          <w:szCs w:val="56"/>
        </w:rPr>
      </w:pPr>
      <w:bookmarkStart w:id="1" w:name="_GoBack"/>
      <w:bookmarkEnd w:id="1"/>
    </w:p>
    <w:p w14:paraId="03CDA3C1">
      <w:pPr>
        <w:pStyle w:val="9"/>
        <w:jc w:val="center"/>
        <w:rPr>
          <w:sz w:val="56"/>
          <w:szCs w:val="56"/>
        </w:rPr>
      </w:pPr>
    </w:p>
    <w:p w14:paraId="030FCBA7">
      <w:pPr>
        <w:pStyle w:val="9"/>
        <w:jc w:val="center"/>
        <w:rPr>
          <w:sz w:val="84"/>
          <w:szCs w:val="84"/>
        </w:rPr>
      </w:pPr>
    </w:p>
    <w:p w14:paraId="1004836A">
      <w:pPr>
        <w:pStyle w:val="9"/>
        <w:jc w:val="center"/>
        <w:rPr>
          <w:sz w:val="84"/>
          <w:szCs w:val="84"/>
        </w:rPr>
      </w:pPr>
    </w:p>
    <w:p w14:paraId="18322067">
      <w:pPr>
        <w:pStyle w:val="9"/>
        <w:jc w:val="center"/>
        <w:rPr>
          <w:sz w:val="84"/>
          <w:szCs w:val="84"/>
        </w:rPr>
      </w:pPr>
      <w:r>
        <w:rPr>
          <w:rFonts w:hint="eastAsia"/>
          <w:sz w:val="84"/>
          <w:szCs w:val="84"/>
        </w:rPr>
        <w:t>2020年度</w:t>
      </w:r>
    </w:p>
    <w:p w14:paraId="5611BDF3">
      <w:pPr>
        <w:pStyle w:val="9"/>
        <w:jc w:val="center"/>
        <w:rPr>
          <w:sz w:val="84"/>
          <w:szCs w:val="84"/>
        </w:rPr>
      </w:pPr>
      <w:r>
        <w:rPr>
          <w:rFonts w:hint="eastAsia"/>
          <w:sz w:val="84"/>
          <w:szCs w:val="84"/>
        </w:rPr>
        <w:t>南华大学附属南华医院部门决算</w:t>
      </w:r>
    </w:p>
    <w:p w14:paraId="01B0E567">
      <w:pPr>
        <w:pStyle w:val="9"/>
        <w:jc w:val="center"/>
        <w:rPr>
          <w:sz w:val="56"/>
          <w:szCs w:val="56"/>
        </w:rPr>
      </w:pPr>
    </w:p>
    <w:p w14:paraId="7A5D56E3">
      <w:pPr>
        <w:pStyle w:val="9"/>
        <w:jc w:val="center"/>
        <w:rPr>
          <w:sz w:val="56"/>
          <w:szCs w:val="56"/>
        </w:rPr>
      </w:pPr>
    </w:p>
    <w:p w14:paraId="69DB44B1">
      <w:pPr>
        <w:pStyle w:val="9"/>
        <w:jc w:val="center"/>
        <w:rPr>
          <w:sz w:val="56"/>
          <w:szCs w:val="56"/>
        </w:rPr>
      </w:pPr>
    </w:p>
    <w:p w14:paraId="1BE71F62">
      <w:pPr>
        <w:pStyle w:val="9"/>
        <w:jc w:val="center"/>
        <w:rPr>
          <w:sz w:val="56"/>
          <w:szCs w:val="56"/>
        </w:rPr>
      </w:pPr>
    </w:p>
    <w:p w14:paraId="0CABA75B">
      <w:pPr>
        <w:pStyle w:val="9"/>
        <w:jc w:val="center"/>
        <w:rPr>
          <w:sz w:val="32"/>
          <w:szCs w:val="32"/>
        </w:rPr>
      </w:pPr>
    </w:p>
    <w:p w14:paraId="303FFCBD">
      <w:pPr>
        <w:pStyle w:val="9"/>
        <w:jc w:val="center"/>
        <w:rPr>
          <w:sz w:val="32"/>
          <w:szCs w:val="32"/>
        </w:rPr>
      </w:pPr>
    </w:p>
    <w:p w14:paraId="21CFBEB8">
      <w:pPr>
        <w:pStyle w:val="9"/>
        <w:spacing w:line="500" w:lineRule="exact"/>
        <w:jc w:val="both"/>
        <w:rPr>
          <w:b/>
          <w:sz w:val="36"/>
          <w:szCs w:val="28"/>
        </w:rPr>
      </w:pPr>
    </w:p>
    <w:p w14:paraId="39D46D70">
      <w:pPr>
        <w:pStyle w:val="9"/>
        <w:spacing w:line="500" w:lineRule="exact"/>
        <w:jc w:val="center"/>
        <w:rPr>
          <w:b/>
          <w:sz w:val="36"/>
          <w:szCs w:val="28"/>
        </w:rPr>
      </w:pPr>
    </w:p>
    <w:p w14:paraId="25773E4D">
      <w:pPr>
        <w:pStyle w:val="9"/>
        <w:spacing w:line="500" w:lineRule="exact"/>
        <w:jc w:val="center"/>
        <w:rPr>
          <w:b/>
          <w:sz w:val="36"/>
          <w:szCs w:val="28"/>
        </w:rPr>
      </w:pPr>
    </w:p>
    <w:p w14:paraId="6A9DD6ED">
      <w:pPr>
        <w:pStyle w:val="9"/>
        <w:spacing w:line="500" w:lineRule="exact"/>
        <w:jc w:val="center"/>
        <w:rPr>
          <w:b/>
          <w:sz w:val="36"/>
          <w:szCs w:val="28"/>
        </w:rPr>
      </w:pPr>
    </w:p>
    <w:p w14:paraId="444B42D3">
      <w:pPr>
        <w:pStyle w:val="9"/>
        <w:spacing w:line="500" w:lineRule="exact"/>
        <w:jc w:val="center"/>
        <w:rPr>
          <w:b/>
          <w:sz w:val="36"/>
          <w:szCs w:val="28"/>
        </w:rPr>
      </w:pPr>
      <w:r>
        <w:rPr>
          <w:rFonts w:hint="eastAsia"/>
          <w:b/>
          <w:sz w:val="36"/>
          <w:szCs w:val="28"/>
        </w:rPr>
        <w:t>目录</w:t>
      </w:r>
    </w:p>
    <w:p w14:paraId="164F74BE">
      <w:pPr>
        <w:pStyle w:val="9"/>
        <w:spacing w:line="500" w:lineRule="exact"/>
        <w:rPr>
          <w:rFonts w:ascii="仿宋_GB2312" w:hAnsi="仿宋_GB2312" w:cs="仿宋_GB2312"/>
          <w:b/>
          <w:sz w:val="28"/>
          <w:szCs w:val="28"/>
        </w:rPr>
      </w:pPr>
      <w:r>
        <w:rPr>
          <w:rFonts w:hint="eastAsia"/>
          <w:b/>
          <w:sz w:val="28"/>
          <w:szCs w:val="28"/>
        </w:rPr>
        <w:t>第一部分 南华大学附属南华医院概况</w:t>
      </w:r>
    </w:p>
    <w:p w14:paraId="013E5992">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4FFEE086">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14:paraId="7FF84E24">
      <w:pPr>
        <w:pStyle w:val="9"/>
        <w:spacing w:line="50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w:t>
      </w:r>
      <w:r>
        <w:rPr>
          <w:rFonts w:hint="eastAsia" w:hAnsi="仿宋_GB2312"/>
          <w:b/>
          <w:sz w:val="28"/>
          <w:szCs w:val="28"/>
        </w:rPr>
        <w:t>20年度部门决算表</w:t>
      </w:r>
    </w:p>
    <w:p w14:paraId="73DAC219">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2A551F36">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1E9B2446">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40CB5A1C">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544CC55A">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203BFE17">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14:paraId="388F7D84">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14:paraId="73CEFD87">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14:paraId="66E1164E">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14:paraId="6421AEB0">
      <w:pPr>
        <w:pStyle w:val="9"/>
        <w:spacing w:line="50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w:t>
      </w:r>
      <w:r>
        <w:rPr>
          <w:rFonts w:hint="eastAsia" w:hAnsi="仿宋_GB2312"/>
          <w:b/>
          <w:sz w:val="28"/>
          <w:szCs w:val="28"/>
        </w:rPr>
        <w:t>20年度部门决算情况说明</w:t>
      </w:r>
    </w:p>
    <w:p w14:paraId="7B37758B">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19A54D02">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14:paraId="758814C6">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0091E1FA">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7796D29D">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701AC3F9">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4DDD2543">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14:paraId="37EB5448">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14:paraId="5A0D18EF">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14:paraId="43826D4E">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14:paraId="7DA81310">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14:paraId="33F042D3">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14:paraId="234075CA">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14:paraId="7AF397C0">
      <w:pPr>
        <w:autoSpaceDE w:val="0"/>
        <w:autoSpaceDN w:val="0"/>
        <w:adjustRightInd w:val="0"/>
        <w:spacing w:line="50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 xml:space="preserve"> 附件</w:t>
      </w:r>
    </w:p>
    <w:p w14:paraId="6E11AAFD">
      <w:pPr>
        <w:jc w:val="center"/>
        <w:rPr>
          <w:sz w:val="72"/>
          <w:szCs w:val="72"/>
        </w:rPr>
      </w:pPr>
    </w:p>
    <w:p w14:paraId="36D9B10F">
      <w:pPr>
        <w:jc w:val="center"/>
        <w:rPr>
          <w:sz w:val="72"/>
          <w:szCs w:val="72"/>
        </w:rPr>
      </w:pPr>
    </w:p>
    <w:p w14:paraId="586A5DBF">
      <w:pPr>
        <w:jc w:val="center"/>
        <w:rPr>
          <w:sz w:val="72"/>
          <w:szCs w:val="72"/>
        </w:rPr>
      </w:pPr>
    </w:p>
    <w:p w14:paraId="039B454D">
      <w:pPr>
        <w:jc w:val="center"/>
        <w:rPr>
          <w:sz w:val="72"/>
          <w:szCs w:val="72"/>
        </w:rPr>
      </w:pPr>
    </w:p>
    <w:p w14:paraId="76BE5770">
      <w:pPr>
        <w:rPr>
          <w:sz w:val="72"/>
          <w:szCs w:val="72"/>
        </w:rPr>
      </w:pPr>
    </w:p>
    <w:p w14:paraId="7F2D53ED">
      <w:pPr>
        <w:pStyle w:val="9"/>
        <w:jc w:val="center"/>
        <w:rPr>
          <w:sz w:val="84"/>
          <w:szCs w:val="84"/>
        </w:rPr>
      </w:pPr>
      <w:r>
        <w:rPr>
          <w:rFonts w:hint="eastAsia"/>
          <w:sz w:val="84"/>
          <w:szCs w:val="84"/>
        </w:rPr>
        <w:t>第一部分</w:t>
      </w:r>
    </w:p>
    <w:p w14:paraId="08F9AF33">
      <w:pPr>
        <w:pStyle w:val="9"/>
        <w:jc w:val="center"/>
        <w:rPr>
          <w:sz w:val="84"/>
          <w:szCs w:val="84"/>
        </w:rPr>
      </w:pPr>
      <w:r>
        <w:rPr>
          <w:rFonts w:hint="eastAsia"/>
          <w:sz w:val="84"/>
          <w:szCs w:val="84"/>
        </w:rPr>
        <w:t>南华大学附属南华医院概况</w:t>
      </w:r>
    </w:p>
    <w:p w14:paraId="6DC2F3FE">
      <w:pPr>
        <w:jc w:val="center"/>
        <w:rPr>
          <w:sz w:val="72"/>
          <w:szCs w:val="72"/>
        </w:rPr>
      </w:pPr>
    </w:p>
    <w:p w14:paraId="6B174784">
      <w:pPr>
        <w:jc w:val="center"/>
        <w:rPr>
          <w:sz w:val="72"/>
          <w:szCs w:val="72"/>
        </w:rPr>
      </w:pPr>
    </w:p>
    <w:p w14:paraId="771F70AF">
      <w:pPr>
        <w:jc w:val="center"/>
        <w:rPr>
          <w:sz w:val="72"/>
          <w:szCs w:val="72"/>
        </w:rPr>
      </w:pPr>
    </w:p>
    <w:p w14:paraId="0C32F2C5">
      <w:pPr>
        <w:jc w:val="center"/>
        <w:rPr>
          <w:sz w:val="72"/>
          <w:szCs w:val="72"/>
        </w:rPr>
      </w:pPr>
    </w:p>
    <w:p w14:paraId="19983986">
      <w:pPr>
        <w:jc w:val="center"/>
        <w:rPr>
          <w:sz w:val="72"/>
          <w:szCs w:val="72"/>
        </w:rPr>
      </w:pPr>
    </w:p>
    <w:p w14:paraId="7FE387DE">
      <w:pPr>
        <w:pStyle w:val="10"/>
        <w:ind w:left="720" w:firstLine="0" w:firstLineChars="0"/>
        <w:jc w:val="left"/>
        <w:rPr>
          <w:rFonts w:ascii="黑体" w:hAnsi="黑体" w:eastAsia="黑体"/>
          <w:sz w:val="32"/>
          <w:szCs w:val="32"/>
        </w:rPr>
      </w:pPr>
    </w:p>
    <w:p w14:paraId="56E046B5">
      <w:pPr>
        <w:pStyle w:val="10"/>
        <w:ind w:firstLine="0" w:firstLineChars="0"/>
        <w:jc w:val="left"/>
        <w:rPr>
          <w:rFonts w:ascii="黑体" w:hAnsi="黑体" w:eastAsia="黑体"/>
          <w:sz w:val="32"/>
          <w:szCs w:val="32"/>
        </w:rPr>
      </w:pPr>
    </w:p>
    <w:p w14:paraId="75057FB8">
      <w:pPr>
        <w:pStyle w:val="10"/>
        <w:ind w:firstLine="0" w:firstLineChars="0"/>
        <w:jc w:val="left"/>
        <w:rPr>
          <w:rFonts w:ascii="黑体" w:hAnsi="黑体" w:eastAsia="黑体"/>
          <w:sz w:val="32"/>
          <w:szCs w:val="32"/>
        </w:rPr>
      </w:pPr>
    </w:p>
    <w:p w14:paraId="6F019A3F">
      <w:pPr>
        <w:pStyle w:val="10"/>
        <w:ind w:firstLine="0" w:firstLineChars="0"/>
        <w:jc w:val="left"/>
        <w:rPr>
          <w:rFonts w:ascii="黑体" w:hAnsi="黑体" w:eastAsia="黑体"/>
          <w:sz w:val="32"/>
          <w:szCs w:val="32"/>
        </w:rPr>
      </w:pPr>
    </w:p>
    <w:p w14:paraId="2B874C03">
      <w:pPr>
        <w:pStyle w:val="10"/>
        <w:ind w:firstLine="0" w:firstLineChars="0"/>
        <w:jc w:val="left"/>
        <w:rPr>
          <w:rFonts w:ascii="黑体" w:hAnsi="黑体" w:eastAsia="黑体"/>
          <w:sz w:val="32"/>
          <w:szCs w:val="32"/>
        </w:rPr>
      </w:pPr>
    </w:p>
    <w:p w14:paraId="007BE2F0">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2BBDCE7B">
      <w:pPr>
        <w:widowControl/>
        <w:spacing w:line="640" w:lineRule="exact"/>
        <w:ind w:firstLine="627" w:firstLineChars="196"/>
        <w:rPr>
          <w:rFonts w:eastAsia="仿宋_GB2312"/>
          <w:sz w:val="32"/>
          <w:szCs w:val="32"/>
        </w:rPr>
      </w:pPr>
      <w:r>
        <w:rPr>
          <w:rFonts w:hint="eastAsia" w:eastAsia="仿宋_GB2312"/>
          <w:sz w:val="32"/>
          <w:szCs w:val="32"/>
        </w:rPr>
        <w:t>南华大学附属南华医院是湘南地区久享盛誉的集医疗、教学、科研、预防和康复于一体的大型三级甲等综合医院。医院挂牌为国家首批核应急医学救援分队、国家药物临床试验基地、国家级住院医师规范化培训基地、中国胸痛中心及中国基层胸痛中心认证、中国房颤中心、全国老年健康急救一体化示范基地、国家级健康管理学科建设与科技创新中心、湖南省神经退行性疾病临床研究中心等，医院学科优势明显，特色突出，专业分科日益精细，学科集群效应明显。医院近年来，承担了国家级、省部级重点及一般项目50项；市厅级项目106余项。在国内外核心刊物上发表学术论文183篇，获教学、科研成果10余项。在政府的主导下，医院牵头与衡阳市七县五区一、二级医院组建100余家医联体。</w:t>
      </w:r>
    </w:p>
    <w:p w14:paraId="2BA70E7E">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2E3B387">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（一）内设机构设置。</w:t>
      </w:r>
    </w:p>
    <w:p w14:paraId="346B29A2">
      <w:pPr>
        <w:widowControl/>
        <w:spacing w:line="640" w:lineRule="exact"/>
        <w:ind w:firstLine="627" w:firstLineChars="196"/>
        <w:rPr>
          <w:rFonts w:eastAsia="仿宋_GB2312"/>
          <w:sz w:val="32"/>
          <w:szCs w:val="32"/>
        </w:rPr>
      </w:pPr>
      <w:r>
        <w:rPr>
          <w:rFonts w:hint="eastAsia" w:eastAsia="仿宋_GB2312"/>
          <w:sz w:val="32"/>
          <w:szCs w:val="32"/>
        </w:rPr>
        <w:t>医院开放床位1700张。现有37个临床科室，11个医技科室，18个教研室，1个临床医学研究所，1个健康管理中心，全科医疗科设置独立单元，行政管理部门19个。拥有4个国家基地，4个省级重点建设专科，1个省级临床研究中心，2个质控中心（基地），5个南华大学创新团队，5个国家级专业委员会副主委单位，34个省级专业委员会主委或副主委单位，19个市级专业委员会主委单位。</w:t>
      </w:r>
    </w:p>
    <w:p w14:paraId="710BA1B3">
      <w:pPr>
        <w:widowControl/>
        <w:spacing w:line="640" w:lineRule="exact"/>
        <w:ind w:firstLine="320" w:firstLineChars="100"/>
        <w:rPr>
          <w:rFonts w:eastAsia="仿宋_GB2312"/>
          <w:sz w:val="32"/>
          <w:szCs w:val="32"/>
        </w:rPr>
      </w:pPr>
      <w:r>
        <w:rPr>
          <w:rFonts w:eastAsia="仿宋_GB2312"/>
          <w:sz w:val="32"/>
          <w:szCs w:val="32"/>
        </w:rPr>
        <w:t>(二)决算单位构成。</w:t>
      </w:r>
    </w:p>
    <w:p w14:paraId="1DFCE549">
      <w:pPr>
        <w:widowControl/>
        <w:spacing w:line="640" w:lineRule="exact"/>
        <w:ind w:firstLine="627" w:firstLineChars="196"/>
        <w:rPr>
          <w:rFonts w:eastAsia="仿宋_GB2312"/>
          <w:sz w:val="32"/>
          <w:szCs w:val="32"/>
        </w:rPr>
      </w:pPr>
      <w:r>
        <w:rPr>
          <w:rFonts w:hint="eastAsia" w:eastAsia="仿宋_GB2312"/>
          <w:sz w:val="32"/>
          <w:szCs w:val="32"/>
        </w:rPr>
        <w:t>南华大学附属南华医院</w:t>
      </w:r>
      <w:r>
        <w:rPr>
          <w:rFonts w:eastAsia="仿宋_GB2312"/>
          <w:sz w:val="32"/>
          <w:szCs w:val="32"/>
        </w:rPr>
        <w:t xml:space="preserve"> 2020 年部门决算汇总公开单位构成包括：</w:t>
      </w:r>
      <w:r>
        <w:rPr>
          <w:rFonts w:hint="eastAsia" w:eastAsia="仿宋_GB2312"/>
          <w:sz w:val="32"/>
          <w:szCs w:val="32"/>
        </w:rPr>
        <w:t>南华大学附属南华医院</w:t>
      </w:r>
      <w:r>
        <w:rPr>
          <w:rFonts w:eastAsia="仿宋_GB2312"/>
          <w:sz w:val="32"/>
          <w:szCs w:val="32"/>
        </w:rPr>
        <w:t>本级</w:t>
      </w:r>
      <w:r>
        <w:rPr>
          <w:rFonts w:hint="eastAsia" w:eastAsia="仿宋_GB2312"/>
          <w:sz w:val="32"/>
          <w:szCs w:val="32"/>
        </w:rPr>
        <w:t>。</w:t>
      </w:r>
    </w:p>
    <w:p w14:paraId="636B1476">
      <w:pPr>
        <w:widowControl/>
        <w:spacing w:line="600" w:lineRule="exact"/>
        <w:ind w:firstLine="640" w:firstLineChars="200"/>
        <w:rPr>
          <w:rFonts w:asciiTheme="minorEastAsia" w:hAnsiTheme="minorEastAsia"/>
          <w:bCs/>
          <w:kern w:val="0"/>
          <w:sz w:val="32"/>
          <w:szCs w:val="32"/>
        </w:rPr>
      </w:pPr>
    </w:p>
    <w:p w14:paraId="0E28F715">
      <w:pPr>
        <w:jc w:val="left"/>
        <w:rPr>
          <w:rFonts w:ascii="仿宋_GB2312" w:eastAsia="仿宋_GB2312" w:hAnsiTheme="minorEastAsia"/>
          <w:sz w:val="28"/>
          <w:szCs w:val="32"/>
        </w:rPr>
      </w:pPr>
    </w:p>
    <w:p w14:paraId="549BA231">
      <w:pPr>
        <w:jc w:val="center"/>
        <w:rPr>
          <w:rFonts w:ascii="黑体" w:hAnsi="黑体" w:eastAsia="黑体"/>
          <w:sz w:val="28"/>
          <w:szCs w:val="28"/>
        </w:rPr>
      </w:pPr>
    </w:p>
    <w:p w14:paraId="71AA092A">
      <w:pPr>
        <w:jc w:val="center"/>
        <w:rPr>
          <w:rFonts w:ascii="黑体" w:hAnsi="黑体" w:eastAsia="黑体"/>
          <w:sz w:val="28"/>
          <w:szCs w:val="28"/>
        </w:rPr>
      </w:pPr>
    </w:p>
    <w:p w14:paraId="232E8885">
      <w:pPr>
        <w:jc w:val="center"/>
        <w:rPr>
          <w:rFonts w:ascii="黑体" w:hAnsi="黑体" w:eastAsia="黑体"/>
          <w:sz w:val="28"/>
          <w:szCs w:val="28"/>
        </w:rPr>
      </w:pPr>
    </w:p>
    <w:p w14:paraId="4B381E52">
      <w:pPr>
        <w:rPr>
          <w:rFonts w:ascii="黑体" w:hAnsi="黑体" w:eastAsia="黑体"/>
          <w:sz w:val="28"/>
          <w:szCs w:val="28"/>
        </w:rPr>
      </w:pPr>
    </w:p>
    <w:p w14:paraId="42F01EFC">
      <w:pPr>
        <w:rPr>
          <w:rFonts w:ascii="黑体" w:hAnsi="黑体" w:eastAsia="黑体"/>
          <w:sz w:val="28"/>
          <w:szCs w:val="28"/>
        </w:rPr>
      </w:pPr>
    </w:p>
    <w:p w14:paraId="10E1724E">
      <w:pPr>
        <w:rPr>
          <w:sz w:val="72"/>
          <w:szCs w:val="72"/>
        </w:rPr>
      </w:pPr>
    </w:p>
    <w:p w14:paraId="33EADC20">
      <w:pPr>
        <w:rPr>
          <w:sz w:val="72"/>
          <w:szCs w:val="72"/>
        </w:rPr>
      </w:pPr>
    </w:p>
    <w:p w14:paraId="540B7D88">
      <w:pPr>
        <w:rPr>
          <w:sz w:val="72"/>
          <w:szCs w:val="72"/>
        </w:rPr>
      </w:pPr>
    </w:p>
    <w:p w14:paraId="57DBB64D">
      <w:pPr>
        <w:pStyle w:val="9"/>
        <w:jc w:val="center"/>
        <w:rPr>
          <w:sz w:val="84"/>
          <w:szCs w:val="84"/>
        </w:rPr>
      </w:pPr>
      <w:r>
        <w:rPr>
          <w:rFonts w:hint="eastAsia"/>
          <w:sz w:val="84"/>
          <w:szCs w:val="84"/>
        </w:rPr>
        <w:t>第二部分</w:t>
      </w:r>
    </w:p>
    <w:p w14:paraId="22ED9765">
      <w:pPr>
        <w:pStyle w:val="9"/>
        <w:jc w:val="center"/>
        <w:rPr>
          <w:sz w:val="84"/>
          <w:szCs w:val="84"/>
        </w:rPr>
      </w:pPr>
    </w:p>
    <w:p w14:paraId="3048C8C1">
      <w:pPr>
        <w:pStyle w:val="9"/>
        <w:jc w:val="center"/>
        <w:rPr>
          <w:sz w:val="72"/>
          <w:szCs w:val="72"/>
        </w:rPr>
        <w:sectPr>
          <w:pgSz w:w="11906" w:h="16838"/>
          <w:pgMar w:top="720" w:right="720" w:bottom="720" w:left="720" w:header="851" w:footer="992" w:gutter="0"/>
          <w:cols w:space="425" w:num="1"/>
          <w:docGrid w:type="lines" w:linePitch="312" w:charSpace="0"/>
        </w:sectPr>
      </w:pPr>
      <w:r>
        <w:rPr>
          <w:rFonts w:hint="eastAsia"/>
          <w:sz w:val="84"/>
          <w:szCs w:val="84"/>
        </w:rPr>
        <w:t>部门决</w:t>
      </w:r>
      <w:bookmarkStart w:id="0" w:name="RANGE!A1:I22"/>
      <w:bookmarkEnd w:id="0"/>
      <w:r>
        <w:rPr>
          <w:rFonts w:hint="eastAsia"/>
          <w:sz w:val="84"/>
          <w:szCs w:val="84"/>
        </w:rPr>
        <w:t>算表</w:t>
      </w:r>
    </w:p>
    <w:p w14:paraId="148D29B3">
      <w:pPr>
        <w:pStyle w:val="9"/>
        <w:jc w:val="center"/>
        <w:rPr>
          <w:sz w:val="72"/>
          <w:szCs w:val="72"/>
        </w:rPr>
      </w:pPr>
    </w:p>
    <w:p w14:paraId="06857F10">
      <w:pPr>
        <w:pStyle w:val="9"/>
        <w:jc w:val="center"/>
        <w:rPr>
          <w:sz w:val="72"/>
          <w:szCs w:val="72"/>
        </w:rPr>
      </w:pPr>
    </w:p>
    <w:p w14:paraId="4A6843C8">
      <w:pPr>
        <w:pStyle w:val="9"/>
        <w:jc w:val="center"/>
        <w:rPr>
          <w:sz w:val="72"/>
          <w:szCs w:val="72"/>
        </w:rPr>
      </w:pPr>
    </w:p>
    <w:p w14:paraId="1CFD27A0">
      <w:pPr>
        <w:pStyle w:val="9"/>
        <w:jc w:val="center"/>
        <w:rPr>
          <w:sz w:val="72"/>
          <w:szCs w:val="72"/>
        </w:rPr>
      </w:pPr>
    </w:p>
    <w:p w14:paraId="36E5E20B">
      <w:pPr>
        <w:pStyle w:val="9"/>
        <w:jc w:val="center"/>
        <w:rPr>
          <w:sz w:val="72"/>
          <w:szCs w:val="72"/>
        </w:rPr>
      </w:pPr>
    </w:p>
    <w:p w14:paraId="2C1D8D53">
      <w:pPr>
        <w:pStyle w:val="9"/>
        <w:jc w:val="center"/>
        <w:rPr>
          <w:sz w:val="84"/>
          <w:szCs w:val="84"/>
        </w:rPr>
      </w:pPr>
      <w:r>
        <w:rPr>
          <w:rFonts w:hint="eastAsia"/>
          <w:sz w:val="84"/>
          <w:szCs w:val="84"/>
        </w:rPr>
        <w:t>第三部分</w:t>
      </w:r>
    </w:p>
    <w:p w14:paraId="04C36E04">
      <w:pPr>
        <w:pStyle w:val="9"/>
        <w:jc w:val="center"/>
        <w:rPr>
          <w:sz w:val="84"/>
          <w:szCs w:val="84"/>
        </w:rPr>
      </w:pPr>
    </w:p>
    <w:p w14:paraId="58604028">
      <w:pPr>
        <w:pStyle w:val="9"/>
        <w:jc w:val="center"/>
        <w:rPr>
          <w:sz w:val="70"/>
          <w:szCs w:val="70"/>
        </w:rPr>
      </w:pPr>
      <w:r>
        <w:rPr>
          <w:rFonts w:hint="eastAsia"/>
          <w:sz w:val="84"/>
          <w:szCs w:val="84"/>
        </w:rPr>
        <w:t>2020年度部门决算情况说明</w:t>
      </w:r>
    </w:p>
    <w:p w14:paraId="7F8A1AEA">
      <w:pPr>
        <w:widowControl/>
        <w:jc w:val="left"/>
        <w:rPr>
          <w:rFonts w:asciiTheme="minorEastAsia" w:hAnsiTheme="minorEastAsia"/>
          <w:sz w:val="32"/>
          <w:szCs w:val="32"/>
        </w:rPr>
      </w:pPr>
      <w:r>
        <w:rPr>
          <w:sz w:val="70"/>
          <w:szCs w:val="70"/>
        </w:rPr>
        <w:br w:type="page"/>
      </w:r>
    </w:p>
    <w:p w14:paraId="703781C9">
      <w:pPr>
        <w:pStyle w:val="9"/>
        <w:rPr>
          <w:rFonts w:hAnsi="黑体"/>
          <w:b/>
          <w:sz w:val="32"/>
          <w:szCs w:val="32"/>
        </w:rPr>
      </w:pPr>
      <w:r>
        <w:rPr>
          <w:rFonts w:hint="eastAsia" w:hAnsi="黑体"/>
          <w:b/>
          <w:sz w:val="32"/>
          <w:szCs w:val="32"/>
        </w:rPr>
        <w:t>一、收入支出决算总体情况说明</w:t>
      </w:r>
    </w:p>
    <w:p w14:paraId="1C7AE2C0">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入总计109255.02万元。与上年相比，增加30970.32万元，增长39.56%，主要是因为以前年度未收回的医保资金在本年度收回，导致收入大幅增加。2020年度支出总计91195.77万元。与上年相比，增加15138.96万元，增长19.9%。</w:t>
      </w:r>
    </w:p>
    <w:p w14:paraId="3159946D">
      <w:pPr>
        <w:pStyle w:val="9"/>
        <w:rPr>
          <w:rFonts w:hAnsi="黑体"/>
          <w:b/>
          <w:sz w:val="32"/>
          <w:szCs w:val="32"/>
        </w:rPr>
      </w:pPr>
      <w:r>
        <w:rPr>
          <w:rFonts w:hint="eastAsia" w:hAnsi="黑体"/>
          <w:b/>
          <w:sz w:val="32"/>
          <w:szCs w:val="32"/>
        </w:rPr>
        <w:t>二、收入决算情况说明</w:t>
      </w:r>
    </w:p>
    <w:p w14:paraId="549FE7AC">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本年收入合计109255.02万元，其中：财政拨款收入5150.02万元，占4.71%；事业收入100407.43万元，占91.91%；其他收入3697.58万元，占3.38%。</w:t>
      </w:r>
    </w:p>
    <w:p w14:paraId="158795AB">
      <w:pPr>
        <w:pStyle w:val="9"/>
        <w:rPr>
          <w:rFonts w:hAnsi="黑体"/>
          <w:b/>
          <w:sz w:val="32"/>
          <w:szCs w:val="32"/>
        </w:rPr>
      </w:pPr>
      <w:r>
        <w:rPr>
          <w:rFonts w:hint="eastAsia" w:hAnsi="黑体"/>
          <w:b/>
          <w:sz w:val="32"/>
          <w:szCs w:val="32"/>
        </w:rPr>
        <w:t>三、支出决算情况说明</w:t>
      </w:r>
    </w:p>
    <w:p w14:paraId="0D856EFB">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本年支出合计91195.77万元，其中：基本支出88784.54万元，占97.36%；项目支出2411.23万元，占2.64%。</w:t>
      </w:r>
    </w:p>
    <w:p w14:paraId="52FF4CF4">
      <w:pPr>
        <w:pStyle w:val="9"/>
        <w:rPr>
          <w:rFonts w:hAnsi="黑体"/>
          <w:b/>
          <w:sz w:val="32"/>
          <w:szCs w:val="32"/>
        </w:rPr>
      </w:pPr>
      <w:r>
        <w:rPr>
          <w:rFonts w:hint="eastAsia" w:hAnsi="黑体"/>
          <w:b/>
          <w:sz w:val="32"/>
          <w:szCs w:val="32"/>
        </w:rPr>
        <w:t>四、财政拨款收入支出决算总体情况说明</w:t>
      </w:r>
    </w:p>
    <w:p w14:paraId="27380834">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入总计5150.02万元，与上年相比，增加1399.95万元，增长37.33%。2020年度财政拨款支出总计5047.59万元，与上年相比，增加1458.77万元,增长40.65%。收支增长较多主要是因为突发新冠疫情，专项拨款增长较大。</w:t>
      </w:r>
    </w:p>
    <w:p w14:paraId="2B9F8B62">
      <w:pPr>
        <w:pStyle w:val="9"/>
        <w:rPr>
          <w:rFonts w:hAnsi="黑体"/>
          <w:b/>
          <w:sz w:val="32"/>
          <w:szCs w:val="32"/>
        </w:rPr>
      </w:pPr>
      <w:r>
        <w:rPr>
          <w:rFonts w:hint="eastAsia" w:hAnsi="黑体"/>
          <w:b/>
          <w:sz w:val="32"/>
          <w:szCs w:val="32"/>
        </w:rPr>
        <w:t>五、一般公共预算财政拨款支出决算情况说明</w:t>
      </w:r>
    </w:p>
    <w:p w14:paraId="22B2F5EF">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4691A8AB">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2020年度财政拨款支出5047.59万元，占本年支出合计的5.53%，与上年相比，财政拨款支出增加1458.77万元，增长40.65%，主要是因为突发新冠疫情，专项拨款增长较大。</w:t>
      </w:r>
    </w:p>
    <w:p w14:paraId="5D006F9A">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74C64BB9">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2020年度财政拨款支出5047.59万元，主要用于以下方面：科学技术支出255.37万元，占5.06%；卫生健康支出4792.22万元，占94.94%。</w:t>
      </w:r>
    </w:p>
    <w:p w14:paraId="7653DDCF">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0A7133B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2020年度财政拨款支出年初预算数为2675.36万元，支出决算数为5047.59万元，完成年初预算的188.67%，其中：</w:t>
      </w:r>
    </w:p>
    <w:p w14:paraId="33DA4535">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1、科学技术支出（类）基础研究（款）自然科学基金（项）。</w:t>
      </w:r>
    </w:p>
    <w:p w14:paraId="579DC58A">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年初预算为0万元，支出决算为8.36万元，此项目为年度内获得的创新型省份建设专项资金。</w:t>
      </w:r>
    </w:p>
    <w:p w14:paraId="5AB01D51">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2、科学技术支出（类）应用研究（款）高技术研究（项）。</w:t>
      </w:r>
    </w:p>
    <w:p w14:paraId="316192A1">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年初预算为0万元，支出决算为230.43万元，此项目为年度内获得的国防军工等补助资金。</w:t>
      </w:r>
    </w:p>
    <w:p w14:paraId="0742FB0A">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3、科学技术支出（类）技术研究与开发（款）其他技术研究与开发支出（项）。</w:t>
      </w:r>
    </w:p>
    <w:p w14:paraId="2FA56C3A">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年初预算为0万元，支出决算为16.57万元，此项目资金为以前年度结余资金。</w:t>
      </w:r>
    </w:p>
    <w:p w14:paraId="7835AC62">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4、卫生健康支出（类）公立医院（款）综合医院（项）。</w:t>
      </w:r>
    </w:p>
    <w:p w14:paraId="3E231819">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年初预算为2636.36万元，支出决算为2639.27万元，完成年初预算的100.11%，此项目资金主要为工资、对个人和家庭的补助资金，以及以前年度结余资金。</w:t>
      </w:r>
    </w:p>
    <w:p w14:paraId="63605185">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5、卫生健康支出（类）公立医院（款）处理医疗欠费（项）。</w:t>
      </w:r>
    </w:p>
    <w:p w14:paraId="01243E60">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年初预算为20万元，支出决算为20万元，完成年初预算的100%。</w:t>
      </w:r>
    </w:p>
    <w:p w14:paraId="6679A14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6、卫生健康支出（类）公立医院（款）其他公立医院支出（项）。</w:t>
      </w:r>
    </w:p>
    <w:p w14:paraId="632DB1D5">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年初预算为19万元，支出决算为301.18万元，完成年初预算的158.52%，此项目资金主要为年度内收到的公立医院综合改革补助及医疗服务能力提升等资金。</w:t>
      </w:r>
    </w:p>
    <w:p w14:paraId="6B0C19C9">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7、卫生健康支出（类）公共卫生（款）重大公共卫生服务（项）。</w:t>
      </w:r>
    </w:p>
    <w:p w14:paraId="4A4612F4">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年初预算为0万元，支出决算为36万元，此项目主要为年度内收到的医疗服务与保障能力建设资金。</w:t>
      </w:r>
    </w:p>
    <w:p w14:paraId="7D51F9DF">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8、卫生健康支出（类）公共卫生（款）突发公共卫生事件应急处理（项）。</w:t>
      </w:r>
    </w:p>
    <w:p w14:paraId="4CEBDB0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年初预算为0万元，支出决算为800万元，此项目主要为年度内收到的新冠肺炎疫情防控补助经费。</w:t>
      </w:r>
    </w:p>
    <w:p w14:paraId="0F3F18B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9、卫生健康支出（类）公共卫生（款）其他公共卫生支出（项）。</w:t>
      </w:r>
    </w:p>
    <w:p w14:paraId="02A46859">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年初预算为0万元，支出决算为95.78万元，此项目主要为年度内收到的公共卫生专项等补助资金。</w:t>
      </w:r>
    </w:p>
    <w:p w14:paraId="7843CA76">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10、卫生健康支出（类）其他卫生健康支出（款）其他卫生健康支出（项）。</w:t>
      </w:r>
    </w:p>
    <w:p w14:paraId="5BBB108C">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年初预算为0万元，支出决算为900万元，此项目为年度内获得的公立医院修缮购置资金。</w:t>
      </w:r>
    </w:p>
    <w:p w14:paraId="3276A932">
      <w:pPr>
        <w:pStyle w:val="9"/>
        <w:rPr>
          <w:rFonts w:hAnsi="黑体"/>
          <w:b/>
          <w:sz w:val="32"/>
          <w:szCs w:val="32"/>
        </w:rPr>
      </w:pPr>
      <w:r>
        <w:rPr>
          <w:rFonts w:hint="eastAsia" w:hAnsi="黑体"/>
          <w:b/>
          <w:sz w:val="32"/>
          <w:szCs w:val="32"/>
        </w:rPr>
        <w:t>六、一般公共预算财政拨款基本支出决算情况说明</w:t>
      </w:r>
    </w:p>
    <w:p w14:paraId="0D45B0F1">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2020年度财政拨款基本支出2636.36万元，其中：人员经费2636.36万元，占基本支出的100%,主要包括基本工资、津贴补贴、绩效工资、离休费、退休费。</w:t>
      </w:r>
    </w:p>
    <w:p w14:paraId="45A1D5DB">
      <w:pPr>
        <w:pStyle w:val="9"/>
        <w:rPr>
          <w:rFonts w:hAnsi="黑体"/>
          <w:b/>
          <w:sz w:val="32"/>
          <w:szCs w:val="32"/>
        </w:rPr>
      </w:pPr>
      <w:r>
        <w:rPr>
          <w:rFonts w:hint="eastAsia" w:hAnsi="黑体"/>
          <w:b/>
          <w:sz w:val="32"/>
          <w:szCs w:val="32"/>
        </w:rPr>
        <w:t>七、一般公共预算财政拨款三公经费支出决算情况说明</w:t>
      </w:r>
    </w:p>
    <w:p w14:paraId="550743F9">
      <w:pPr>
        <w:pStyle w:val="9"/>
        <w:rPr>
          <w:rFonts w:hAnsi="黑体"/>
          <w:b/>
          <w:sz w:val="32"/>
          <w:szCs w:val="32"/>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sz w:val="32"/>
          <w:szCs w:val="32"/>
        </w:rPr>
        <w:t xml:space="preserve"> </w:t>
      </w:r>
      <w:r>
        <w:rPr>
          <w:rFonts w:ascii="Times New Roman" w:hAnsi="Times New Roman" w:eastAsia="仿宋_GB2312" w:cs="Times New Roman"/>
          <w:sz w:val="32"/>
          <w:szCs w:val="32"/>
        </w:rPr>
        <w:t>2020年本单位</w:t>
      </w:r>
      <w:r>
        <w:rPr>
          <w:rFonts w:hint="eastAsia" w:ascii="Times New Roman" w:hAnsi="Times New Roman" w:eastAsia="仿宋_GB2312" w:cs="Times New Roman"/>
          <w:sz w:val="32"/>
          <w:szCs w:val="32"/>
        </w:rPr>
        <w:t>无使用一般公共预算拨款安排的</w:t>
      </w:r>
      <w:r>
        <w:rPr>
          <w:rFonts w:ascii="Times New Roman" w:hAnsi="Times New Roman" w:eastAsia="仿宋_GB2312" w:cs="Times New Roman"/>
          <w:sz w:val="32"/>
          <w:szCs w:val="32"/>
        </w:rPr>
        <w:t>“三公”经费</w:t>
      </w:r>
      <w:r>
        <w:rPr>
          <w:rFonts w:hint="eastAsia" w:ascii="Times New Roman" w:hAnsi="Times New Roman" w:eastAsia="仿宋_GB2312" w:cs="Times New Roman"/>
          <w:sz w:val="32"/>
          <w:szCs w:val="32"/>
        </w:rPr>
        <w:t>预算支出。</w:t>
      </w:r>
      <w:r>
        <w:rPr>
          <w:rFonts w:hint="eastAsia" w:hAnsi="黑体"/>
          <w:b/>
          <w:sz w:val="32"/>
          <w:szCs w:val="32"/>
        </w:rPr>
        <w:t>八、政府性基金预算收入支出决算情况</w:t>
      </w:r>
    </w:p>
    <w:p w14:paraId="12C7912F">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w:t>
      </w:r>
      <w:r>
        <w:rPr>
          <w:rFonts w:hint="eastAsia" w:asciiTheme="minorEastAsia" w:hAnsiTheme="minorEastAsia" w:eastAsiaTheme="minorEastAsia" w:cstheme="minorBidi"/>
          <w:color w:val="auto"/>
          <w:kern w:val="2"/>
          <w:sz w:val="32"/>
          <w:szCs w:val="32"/>
        </w:rPr>
        <w:t>度本单位无政府性基金收支。</w:t>
      </w:r>
    </w:p>
    <w:p w14:paraId="0D1976DE">
      <w:pPr>
        <w:pStyle w:val="9"/>
        <w:rPr>
          <w:rFonts w:hAnsi="黑体"/>
          <w:b/>
          <w:sz w:val="32"/>
          <w:szCs w:val="32"/>
        </w:rPr>
      </w:pPr>
      <w:r>
        <w:rPr>
          <w:rFonts w:hint="eastAsia" w:hAnsi="黑体"/>
          <w:b/>
          <w:sz w:val="32"/>
          <w:szCs w:val="32"/>
        </w:rPr>
        <w:t>九、关于机关运行经费支出说明</w:t>
      </w:r>
    </w:p>
    <w:p w14:paraId="24F1DE5E">
      <w:pPr>
        <w:pStyle w:val="9"/>
        <w:ind w:firstLine="640" w:firstLineChars="200"/>
        <w:rPr>
          <w:rFonts w:asciiTheme="minorEastAsia" w:hAnsiTheme="minorEastAsia" w:eastAsiaTheme="minorEastAsia" w:cstheme="minorBidi"/>
          <w:color w:val="auto"/>
          <w:kern w:val="2"/>
          <w:sz w:val="32"/>
          <w:szCs w:val="32"/>
        </w:rPr>
      </w:pPr>
      <w:r>
        <w:rPr>
          <w:rFonts w:asciiTheme="minorEastAsia" w:hAnsiTheme="minorEastAsia" w:eastAsiaTheme="minorEastAsia" w:cstheme="minorBidi"/>
          <w:color w:val="auto"/>
          <w:kern w:val="2"/>
          <w:sz w:val="32"/>
          <w:szCs w:val="32"/>
        </w:rPr>
        <w:t>2020 年本单位</w:t>
      </w:r>
      <w:r>
        <w:rPr>
          <w:rFonts w:hint="eastAsia" w:asciiTheme="minorEastAsia" w:hAnsiTheme="minorEastAsia" w:eastAsiaTheme="minorEastAsia" w:cstheme="minorBidi"/>
          <w:color w:val="auto"/>
          <w:kern w:val="2"/>
          <w:sz w:val="32"/>
          <w:szCs w:val="32"/>
        </w:rPr>
        <w:t>无使用一般公共预算拨款安排的</w:t>
      </w:r>
      <w:r>
        <w:rPr>
          <w:rFonts w:asciiTheme="minorEastAsia" w:hAnsiTheme="minorEastAsia" w:eastAsiaTheme="minorEastAsia" w:cstheme="minorBidi"/>
          <w:color w:val="auto"/>
          <w:kern w:val="2"/>
          <w:sz w:val="32"/>
          <w:szCs w:val="32"/>
        </w:rPr>
        <w:t>机关运行经费</w:t>
      </w:r>
      <w:r>
        <w:rPr>
          <w:rFonts w:hint="eastAsia" w:asciiTheme="minorEastAsia" w:hAnsiTheme="minorEastAsia" w:eastAsiaTheme="minorEastAsia" w:cstheme="minorBidi"/>
          <w:color w:val="auto"/>
          <w:kern w:val="2"/>
          <w:sz w:val="32"/>
          <w:szCs w:val="32"/>
        </w:rPr>
        <w:t>预算支出。</w:t>
      </w:r>
    </w:p>
    <w:p w14:paraId="6DEC8D12">
      <w:pPr>
        <w:pStyle w:val="9"/>
        <w:rPr>
          <w:rFonts w:hAnsi="黑体"/>
          <w:b/>
          <w:sz w:val="32"/>
          <w:szCs w:val="32"/>
        </w:rPr>
      </w:pPr>
      <w:r>
        <w:rPr>
          <w:rFonts w:hint="eastAsia" w:hAnsi="黑体"/>
          <w:b/>
          <w:sz w:val="32"/>
          <w:szCs w:val="32"/>
        </w:rPr>
        <w:t>十、一般性支出情况</w:t>
      </w:r>
    </w:p>
    <w:p w14:paraId="26ECCBF9">
      <w:pPr>
        <w:ind w:firstLine="640" w:firstLineChars="200"/>
      </w:pPr>
      <w:r>
        <w:rPr>
          <w:rFonts w:hint="eastAsia" w:ascii="宋体" w:hAnsi="宋体"/>
          <w:sz w:val="32"/>
          <w:szCs w:val="32"/>
        </w:rPr>
        <w:t>2020年本部门开支会议费0万元；开支培训费36万元，用于开展住院医师规范化培训，培训人数为12人，内容为提升医疗服务能力。</w:t>
      </w:r>
    </w:p>
    <w:p w14:paraId="6559E09A">
      <w:pPr>
        <w:pStyle w:val="9"/>
        <w:rPr>
          <w:rFonts w:hAnsi="黑体"/>
          <w:b/>
          <w:sz w:val="32"/>
          <w:szCs w:val="32"/>
        </w:rPr>
      </w:pPr>
      <w:r>
        <w:rPr>
          <w:rFonts w:hint="eastAsia" w:hAnsi="黑体"/>
          <w:b/>
          <w:sz w:val="32"/>
          <w:szCs w:val="32"/>
        </w:rPr>
        <w:t>十一、关于政府采购支出说明</w:t>
      </w:r>
    </w:p>
    <w:p w14:paraId="440A6948">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本部门2020年度政府采购支出总额11937.46万元，其中：政府采购货物支出5572.37万元、政府采购工程支出5445.9万元、政府采购服务支出919.19万元。授予中小企业合同金额0万元。</w:t>
      </w:r>
    </w:p>
    <w:p w14:paraId="5E75DA3A">
      <w:pPr>
        <w:pStyle w:val="9"/>
        <w:rPr>
          <w:rFonts w:hAnsi="黑体"/>
          <w:b/>
          <w:sz w:val="32"/>
          <w:szCs w:val="32"/>
        </w:rPr>
      </w:pPr>
      <w:r>
        <w:rPr>
          <w:rFonts w:hint="eastAsia" w:hAnsi="黑体"/>
          <w:b/>
          <w:sz w:val="32"/>
          <w:szCs w:val="32"/>
        </w:rPr>
        <w:t>十二、关于国有资产占用情况说明</w:t>
      </w:r>
    </w:p>
    <w:p w14:paraId="6A41D290">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截至2020年12月31日，本单位共有车辆9辆，其中，特种专业技术用车5辆、其他用车4辆；单位价值50万元以上通用设备7台（套）；单位价值100万元以上专用设备37台（套）。</w:t>
      </w:r>
    </w:p>
    <w:p w14:paraId="7A37C2F0">
      <w:pPr>
        <w:pStyle w:val="9"/>
        <w:rPr>
          <w:rFonts w:hAnsi="黑体"/>
          <w:b/>
          <w:sz w:val="32"/>
          <w:szCs w:val="32"/>
        </w:rPr>
      </w:pPr>
      <w:r>
        <w:rPr>
          <w:rFonts w:hint="eastAsia" w:hAnsi="黑体"/>
          <w:b/>
          <w:sz w:val="32"/>
          <w:szCs w:val="32"/>
        </w:rPr>
        <w:t>十三、关于2020年度预算绩效情况的说明</w:t>
      </w:r>
    </w:p>
    <w:p w14:paraId="483E6F37">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本部门已按照要求开展了预算绩效评价相关工作，相关评价报告见附件。</w:t>
      </w:r>
    </w:p>
    <w:p w14:paraId="1E3D7EE7">
      <w:pPr>
        <w:pStyle w:val="9"/>
        <w:rPr>
          <w:rFonts w:hAnsi="黑体"/>
          <w:b/>
          <w:sz w:val="32"/>
          <w:szCs w:val="32"/>
        </w:rPr>
      </w:pPr>
    </w:p>
    <w:p w14:paraId="383A294D">
      <w:pPr>
        <w:pStyle w:val="9"/>
        <w:jc w:val="center"/>
        <w:rPr>
          <w:sz w:val="72"/>
          <w:szCs w:val="72"/>
        </w:rPr>
      </w:pPr>
    </w:p>
    <w:p w14:paraId="2A4F5075">
      <w:pPr>
        <w:pStyle w:val="9"/>
        <w:jc w:val="center"/>
        <w:rPr>
          <w:sz w:val="72"/>
          <w:szCs w:val="72"/>
        </w:rPr>
      </w:pPr>
    </w:p>
    <w:p w14:paraId="3FCE580B">
      <w:pPr>
        <w:widowControl/>
        <w:jc w:val="left"/>
        <w:rPr>
          <w:sz w:val="72"/>
          <w:szCs w:val="72"/>
        </w:rPr>
      </w:pPr>
    </w:p>
    <w:p w14:paraId="6A147908">
      <w:pPr>
        <w:widowControl/>
        <w:jc w:val="left"/>
        <w:rPr>
          <w:sz w:val="72"/>
          <w:szCs w:val="72"/>
        </w:rPr>
      </w:pPr>
    </w:p>
    <w:p w14:paraId="2E741C59">
      <w:pPr>
        <w:widowControl/>
        <w:jc w:val="left"/>
        <w:rPr>
          <w:sz w:val="72"/>
          <w:szCs w:val="72"/>
        </w:rPr>
      </w:pPr>
    </w:p>
    <w:p w14:paraId="37704026">
      <w:pPr>
        <w:widowControl/>
        <w:jc w:val="left"/>
        <w:rPr>
          <w:sz w:val="72"/>
          <w:szCs w:val="72"/>
        </w:rPr>
      </w:pPr>
    </w:p>
    <w:p w14:paraId="6859C606">
      <w:pPr>
        <w:widowControl/>
        <w:jc w:val="left"/>
        <w:rPr>
          <w:sz w:val="72"/>
          <w:szCs w:val="72"/>
        </w:rPr>
      </w:pPr>
    </w:p>
    <w:p w14:paraId="570EB450">
      <w:pPr>
        <w:pStyle w:val="9"/>
        <w:jc w:val="center"/>
        <w:rPr>
          <w:sz w:val="72"/>
          <w:szCs w:val="72"/>
        </w:rPr>
      </w:pPr>
    </w:p>
    <w:p w14:paraId="6A283C9F">
      <w:pPr>
        <w:pStyle w:val="9"/>
        <w:jc w:val="center"/>
        <w:rPr>
          <w:sz w:val="72"/>
          <w:szCs w:val="72"/>
        </w:rPr>
      </w:pPr>
    </w:p>
    <w:p w14:paraId="24AA9E9E">
      <w:pPr>
        <w:pStyle w:val="9"/>
        <w:jc w:val="center"/>
        <w:rPr>
          <w:sz w:val="72"/>
          <w:szCs w:val="72"/>
        </w:rPr>
      </w:pPr>
    </w:p>
    <w:p w14:paraId="4093DABB">
      <w:pPr>
        <w:pStyle w:val="9"/>
        <w:jc w:val="center"/>
        <w:rPr>
          <w:sz w:val="72"/>
          <w:szCs w:val="72"/>
        </w:rPr>
      </w:pPr>
    </w:p>
    <w:p w14:paraId="033B0EC8">
      <w:pPr>
        <w:pStyle w:val="9"/>
        <w:jc w:val="center"/>
        <w:rPr>
          <w:sz w:val="72"/>
          <w:szCs w:val="72"/>
        </w:rPr>
      </w:pPr>
    </w:p>
    <w:p w14:paraId="0BB2AFC7">
      <w:pPr>
        <w:pStyle w:val="9"/>
        <w:jc w:val="center"/>
        <w:rPr>
          <w:sz w:val="72"/>
          <w:szCs w:val="72"/>
        </w:rPr>
      </w:pPr>
    </w:p>
    <w:p w14:paraId="610E23B5">
      <w:pPr>
        <w:pStyle w:val="9"/>
        <w:jc w:val="center"/>
        <w:rPr>
          <w:sz w:val="84"/>
          <w:szCs w:val="84"/>
        </w:rPr>
      </w:pPr>
      <w:r>
        <w:rPr>
          <w:rFonts w:hint="eastAsia"/>
          <w:sz w:val="84"/>
          <w:szCs w:val="84"/>
        </w:rPr>
        <w:t>第四部分</w:t>
      </w:r>
    </w:p>
    <w:p w14:paraId="767CD359">
      <w:pPr>
        <w:pStyle w:val="9"/>
        <w:jc w:val="center"/>
        <w:rPr>
          <w:sz w:val="84"/>
          <w:szCs w:val="84"/>
        </w:rPr>
      </w:pPr>
    </w:p>
    <w:p w14:paraId="2DC4F0DF">
      <w:pPr>
        <w:pStyle w:val="9"/>
        <w:jc w:val="center"/>
        <w:rPr>
          <w:sz w:val="84"/>
          <w:szCs w:val="84"/>
        </w:rPr>
      </w:pPr>
      <w:r>
        <w:rPr>
          <w:rFonts w:hint="eastAsia"/>
          <w:sz w:val="84"/>
          <w:szCs w:val="84"/>
        </w:rPr>
        <w:t>附件</w:t>
      </w:r>
    </w:p>
    <w:p w14:paraId="7759787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E6E9AA9">
      <w:pPr>
        <w:spacing w:line="600" w:lineRule="exact"/>
        <w:jc w:val="center"/>
        <w:rPr>
          <w:rFonts w:eastAsia="方正小标宋_GBK"/>
          <w:sz w:val="36"/>
          <w:szCs w:val="36"/>
        </w:rPr>
      </w:pPr>
      <w:r>
        <w:rPr>
          <w:rFonts w:hint="eastAsia" w:cs="黑体" w:asciiTheme="minorEastAsia" w:hAnsiTheme="minorEastAsia"/>
          <w:b/>
          <w:color w:val="000000"/>
          <w:kern w:val="0"/>
          <w:sz w:val="32"/>
          <w:szCs w:val="32"/>
        </w:rPr>
        <w:t>2020年度省级专项资金绩效自评报告</w:t>
      </w:r>
    </w:p>
    <w:p w14:paraId="343018F1">
      <w:pPr>
        <w:spacing w:line="360" w:lineRule="exact"/>
        <w:rPr>
          <w:rFonts w:eastAsia="黑体"/>
          <w:kern w:val="0"/>
          <w:sz w:val="32"/>
          <w:szCs w:val="32"/>
        </w:rPr>
      </w:pPr>
    </w:p>
    <w:p w14:paraId="34399D55">
      <w:pPr>
        <w:spacing w:line="600" w:lineRule="exact"/>
        <w:ind w:firstLine="640" w:firstLineChars="200"/>
        <w:rPr>
          <w:rFonts w:eastAsia="黑体"/>
          <w:sz w:val="32"/>
          <w:szCs w:val="32"/>
        </w:rPr>
      </w:pPr>
      <w:r>
        <w:rPr>
          <w:rFonts w:eastAsia="黑体"/>
          <w:sz w:val="32"/>
          <w:szCs w:val="32"/>
        </w:rPr>
        <w:t>一、预算支出基本情况</w:t>
      </w:r>
    </w:p>
    <w:p w14:paraId="2155A02B">
      <w:pPr>
        <w:spacing w:line="600" w:lineRule="exact"/>
        <w:ind w:firstLine="640" w:firstLineChars="200"/>
        <w:rPr>
          <w:rFonts w:eastAsia="楷体_GB2312"/>
          <w:b/>
          <w:sz w:val="32"/>
          <w:szCs w:val="32"/>
        </w:rPr>
      </w:pPr>
      <w:r>
        <w:rPr>
          <w:rFonts w:eastAsia="楷体_GB2312"/>
          <w:b/>
          <w:sz w:val="32"/>
          <w:szCs w:val="32"/>
        </w:rPr>
        <w:t>（一）预算支出概况。</w:t>
      </w:r>
    </w:p>
    <w:p w14:paraId="6CEE66BD">
      <w:pPr>
        <w:spacing w:line="600" w:lineRule="exact"/>
        <w:ind w:firstLine="640" w:firstLineChars="200"/>
        <w:rPr>
          <w:rFonts w:eastAsia="仿宋_GB2312"/>
          <w:sz w:val="32"/>
          <w:szCs w:val="32"/>
        </w:rPr>
      </w:pPr>
      <w:r>
        <w:rPr>
          <w:rFonts w:hint="eastAsia" w:eastAsia="仿宋_GB2312"/>
          <w:sz w:val="32"/>
          <w:szCs w:val="32"/>
        </w:rPr>
        <w:t>2020年医院收到年初财政批复省级项目预算共4笔，合计39万元，分别为住院医师规范化培训12万元；225高层次人才培养4万元；卫生科研3万元；病人欠费20万元。2020年收到财政追加省级预算项目4个，共1013.1万元，分别为公立医院修缮购置900万；创新型省份建设专项资金35万；公共卫生专项72.1万；新冠肺炎疫情防控临时性工作补助经费6万。2020年共使用专项资金1016.96万元。</w:t>
      </w:r>
    </w:p>
    <w:p w14:paraId="10E847B1">
      <w:pPr>
        <w:spacing w:line="600" w:lineRule="exact"/>
        <w:ind w:firstLine="640" w:firstLineChars="200"/>
        <w:rPr>
          <w:rFonts w:eastAsia="楷体_GB2312"/>
          <w:b/>
          <w:sz w:val="32"/>
          <w:szCs w:val="32"/>
        </w:rPr>
      </w:pPr>
      <w:r>
        <w:rPr>
          <w:rFonts w:eastAsia="楷体_GB2312"/>
          <w:b/>
          <w:sz w:val="32"/>
          <w:szCs w:val="32"/>
        </w:rPr>
        <w:t>（二）预算资金使用管理情况。</w:t>
      </w:r>
    </w:p>
    <w:p w14:paraId="3A12FB7C">
      <w:pPr>
        <w:spacing w:line="600" w:lineRule="exact"/>
        <w:ind w:firstLine="640" w:firstLineChars="200"/>
        <w:rPr>
          <w:rFonts w:eastAsia="仿宋_GB2312"/>
          <w:sz w:val="32"/>
          <w:szCs w:val="32"/>
        </w:rPr>
      </w:pPr>
      <w:r>
        <w:rPr>
          <w:rFonts w:hint="eastAsia" w:eastAsia="仿宋_GB2312"/>
          <w:sz w:val="32"/>
          <w:szCs w:val="32"/>
        </w:rPr>
        <w:t>医院对收到的专项资金由财务部门进行统筹，相关业务部门进行项目管理，相关的配套资金在财政资金下达时同时到位。在专项资金的使用上，根据医院相关财务制度，及专项实施要求，严格按照规定进行会计核算，对资金进行日常监督管理。所有专项资金均按计划使用，无浪费行为，无挤占挪用或套取资金等现象。</w:t>
      </w:r>
    </w:p>
    <w:p w14:paraId="0546A801">
      <w:pPr>
        <w:numPr>
          <w:ilvl w:val="0"/>
          <w:numId w:val="2"/>
        </w:numPr>
        <w:spacing w:line="600" w:lineRule="exact"/>
        <w:ind w:firstLine="640" w:firstLineChars="200"/>
        <w:rPr>
          <w:rFonts w:eastAsia="楷体_GB2312"/>
          <w:b/>
          <w:sz w:val="32"/>
          <w:szCs w:val="32"/>
        </w:rPr>
      </w:pPr>
      <w:r>
        <w:rPr>
          <w:rFonts w:eastAsia="楷体_GB2312"/>
          <w:b/>
          <w:sz w:val="32"/>
          <w:szCs w:val="32"/>
        </w:rPr>
        <w:t>预算支出绩效目标完成程度。</w:t>
      </w:r>
    </w:p>
    <w:p w14:paraId="02A7EDAF">
      <w:pPr>
        <w:spacing w:line="600" w:lineRule="exact"/>
        <w:ind w:firstLine="640" w:firstLineChars="200"/>
        <w:rPr>
          <w:rFonts w:eastAsia="仿宋_GB2312"/>
          <w:sz w:val="32"/>
          <w:szCs w:val="32"/>
        </w:rPr>
      </w:pPr>
      <w:r>
        <w:rPr>
          <w:rFonts w:hint="eastAsia" w:eastAsia="仿宋_GB2312"/>
          <w:sz w:val="32"/>
          <w:szCs w:val="32"/>
        </w:rPr>
        <w:t>2020年预算项目旨在弥补公立医院综合改革损失，并进一步强化医疗服务能力，同时提高医院科研能力。在完成医疗服务的同时，做好规培工作。在项目负责人的组织下，2020年末基本达到了预期绩效目标，医院的医疗服务能力与科研能力稳步提高，人才培养工作初见成效，患者与职工的满意度也有所提高。</w:t>
      </w:r>
    </w:p>
    <w:p w14:paraId="7F55F257">
      <w:pPr>
        <w:numPr>
          <w:ilvl w:val="0"/>
          <w:numId w:val="3"/>
        </w:numPr>
        <w:spacing w:line="600" w:lineRule="exact"/>
        <w:ind w:firstLine="640" w:firstLineChars="200"/>
        <w:rPr>
          <w:rFonts w:eastAsia="黑体"/>
          <w:sz w:val="32"/>
          <w:szCs w:val="32"/>
        </w:rPr>
      </w:pPr>
      <w:r>
        <w:rPr>
          <w:rFonts w:eastAsia="黑体"/>
          <w:sz w:val="32"/>
          <w:szCs w:val="32"/>
        </w:rPr>
        <w:t>绩效评价工作情况</w:t>
      </w:r>
    </w:p>
    <w:p w14:paraId="1F3EF469">
      <w:pPr>
        <w:spacing w:line="600" w:lineRule="exact"/>
        <w:rPr>
          <w:rFonts w:eastAsia="仿宋_GB2312"/>
          <w:sz w:val="32"/>
          <w:szCs w:val="32"/>
        </w:rPr>
      </w:pPr>
      <w:r>
        <w:rPr>
          <w:rFonts w:hint="eastAsia" w:eastAsia="黑体"/>
          <w:sz w:val="32"/>
          <w:szCs w:val="32"/>
        </w:rPr>
        <w:t xml:space="preserve">    </w:t>
      </w:r>
      <w:r>
        <w:rPr>
          <w:rFonts w:hint="eastAsia" w:eastAsia="仿宋_GB2312"/>
          <w:sz w:val="32"/>
          <w:szCs w:val="32"/>
        </w:rPr>
        <w:t>在绩效评价工作中，由院领导进行统筹部署，各项目负责的业务科室进行组织，财务提供有效真实的项目资金使用情况，结合项目开展进度，从产出、效益、满意度3个方面综合客观的进行绩效评价。</w:t>
      </w:r>
    </w:p>
    <w:p w14:paraId="4D3333D7">
      <w:pPr>
        <w:numPr>
          <w:ilvl w:val="0"/>
          <w:numId w:val="3"/>
        </w:numPr>
        <w:spacing w:line="600" w:lineRule="exact"/>
        <w:ind w:firstLine="640" w:firstLineChars="200"/>
        <w:rPr>
          <w:rFonts w:eastAsia="黑体"/>
          <w:sz w:val="32"/>
          <w:szCs w:val="32"/>
        </w:rPr>
      </w:pPr>
      <w:r>
        <w:rPr>
          <w:rFonts w:eastAsia="黑体"/>
          <w:sz w:val="32"/>
          <w:szCs w:val="32"/>
        </w:rPr>
        <w:t>预算支出主要绩效及评价结论</w:t>
      </w:r>
    </w:p>
    <w:p w14:paraId="405894D3">
      <w:pPr>
        <w:spacing w:line="600" w:lineRule="exact"/>
        <w:rPr>
          <w:rFonts w:eastAsia="黑体"/>
          <w:sz w:val="32"/>
          <w:szCs w:val="32"/>
        </w:rPr>
      </w:pPr>
      <w:r>
        <w:rPr>
          <w:rFonts w:hint="eastAsia" w:eastAsia="黑体"/>
          <w:sz w:val="32"/>
          <w:szCs w:val="32"/>
        </w:rPr>
        <w:t xml:space="preserve">    </w:t>
      </w:r>
      <w:r>
        <w:rPr>
          <w:rFonts w:hint="eastAsia" w:eastAsia="仿宋_GB2312"/>
          <w:sz w:val="32"/>
          <w:szCs w:val="32"/>
        </w:rPr>
        <w:t>在2020年度的项目预算支出中，主要涉及数量、质量、社会效益、可持续影响、满意度等5个指标。具体情况如下：2020年住院医师规范化培训在培人数为12人，结业考核合格率为83.3%，较上年度有所提高，基本完成了绩效目标；医院开展了一系列新技术新项目，医疗服务能力及科研能力均较上年度有所提升，学术影响力进一步扩大；2020年加大了对现有人才的培养力度，同时也加强了人才引进，有助于形成稳定的学科发展人才梯队；另外，患者与员工的满意度均有一定的提升。总体来看，预算支出的绩效目标基本完成。</w:t>
      </w:r>
    </w:p>
    <w:p w14:paraId="215234B3">
      <w:pPr>
        <w:spacing w:line="600" w:lineRule="exact"/>
        <w:ind w:firstLine="640" w:firstLineChars="200"/>
        <w:rPr>
          <w:rFonts w:eastAsia="黑体"/>
          <w:sz w:val="32"/>
          <w:szCs w:val="32"/>
        </w:rPr>
      </w:pPr>
      <w:r>
        <w:rPr>
          <w:rFonts w:eastAsia="黑体"/>
          <w:sz w:val="32"/>
          <w:szCs w:val="32"/>
        </w:rPr>
        <w:t>四、绩效评价指标分析</w:t>
      </w:r>
    </w:p>
    <w:p w14:paraId="69BC8CE5">
      <w:pPr>
        <w:spacing w:line="600" w:lineRule="exact"/>
        <w:ind w:firstLine="640" w:firstLineChars="200"/>
        <w:rPr>
          <w:rFonts w:eastAsia="仿宋_GB2312"/>
          <w:sz w:val="32"/>
          <w:szCs w:val="32"/>
        </w:rPr>
      </w:pPr>
      <w:r>
        <w:rPr>
          <w:rFonts w:hint="eastAsia" w:eastAsia="仿宋_GB2312"/>
          <w:sz w:val="32"/>
          <w:szCs w:val="32"/>
        </w:rPr>
        <w:t>1.住院医师规范化培训。2020年医院规培人员共12人，共使用资金54.67万元，其中12万元为财政专项资金。在项目实施过程中，发放规培人员工资46.69万元，其他培训费用7.98万。2020年住院医师规范化培训结业考核合格率为83.3%，较上年度有所提高，基本完成了绩效目标。</w:t>
      </w:r>
    </w:p>
    <w:p w14:paraId="01760D2E">
      <w:pPr>
        <w:spacing w:line="600" w:lineRule="exact"/>
        <w:ind w:firstLine="640" w:firstLineChars="200"/>
        <w:rPr>
          <w:rFonts w:eastAsia="仿宋_GB2312"/>
          <w:sz w:val="32"/>
          <w:szCs w:val="32"/>
        </w:rPr>
      </w:pPr>
      <w:r>
        <w:rPr>
          <w:rFonts w:hint="eastAsia" w:eastAsia="仿宋_GB2312"/>
          <w:sz w:val="32"/>
          <w:szCs w:val="32"/>
        </w:rPr>
        <w:t>2.225高层次人才培养。2020年收到财政专项资金4万元，为4名高层次人才培养专项经费，每人1万元。已使用3.68万元，均用于高层次人才的医疗业务及相关研究的培养工作，学科发展人才梯队逐步形成。</w:t>
      </w:r>
    </w:p>
    <w:p w14:paraId="28E444FA">
      <w:pPr>
        <w:numPr>
          <w:ilvl w:val="0"/>
          <w:numId w:val="4"/>
        </w:numPr>
        <w:spacing w:line="600" w:lineRule="exact"/>
        <w:ind w:firstLine="640" w:firstLineChars="200"/>
        <w:rPr>
          <w:rFonts w:eastAsia="仿宋_GB2312"/>
          <w:sz w:val="32"/>
          <w:szCs w:val="32"/>
        </w:rPr>
      </w:pPr>
      <w:r>
        <w:rPr>
          <w:rFonts w:hint="eastAsia" w:eastAsia="仿宋_GB2312"/>
          <w:sz w:val="32"/>
          <w:szCs w:val="32"/>
        </w:rPr>
        <w:t>卫生科研。共２个项目，财政专项资金3万元，该项目正在开展中，还未进行财务报销，目前财务账面结余3万元。具体明细如下：　</w:t>
      </w:r>
    </w:p>
    <w:p w14:paraId="5836E531">
      <w:pPr>
        <w:spacing w:line="600" w:lineRule="exact"/>
        <w:rPr>
          <w:rFonts w:eastAsia="仿宋_GB2312"/>
          <w:sz w:val="32"/>
          <w:szCs w:val="32"/>
        </w:rPr>
      </w:pPr>
      <w:r>
        <w:rPr>
          <w:rFonts w:hint="eastAsia" w:eastAsia="仿宋_GB2312"/>
          <w:sz w:val="32"/>
          <w:szCs w:val="32"/>
        </w:rPr>
        <w:t>　　　　　　　　　　　　　　　　　　　　</w:t>
      </w:r>
      <w:r>
        <w:rPr>
          <w:rFonts w:hint="eastAsia" w:eastAsia="仿宋_GB2312"/>
          <w:sz w:val="24"/>
          <w:szCs w:val="24"/>
        </w:rPr>
        <w:t>　（单位：万元）</w:t>
      </w:r>
      <w:r>
        <w:rPr>
          <w:rFonts w:hint="eastAsia" w:eastAsia="仿宋_GB2312"/>
          <w:sz w:val="32"/>
          <w:szCs w:val="32"/>
        </w:rPr>
        <w:t>　　　　　　</w:t>
      </w:r>
    </w:p>
    <w:tbl>
      <w:tblPr>
        <w:tblStyle w:val="5"/>
        <w:tblW w:w="9937" w:type="dxa"/>
        <w:tblInd w:w="93" w:type="dxa"/>
        <w:tblLayout w:type="fixed"/>
        <w:tblCellMar>
          <w:top w:w="0" w:type="dxa"/>
          <w:left w:w="108" w:type="dxa"/>
          <w:bottom w:w="0" w:type="dxa"/>
          <w:right w:w="108" w:type="dxa"/>
        </w:tblCellMar>
      </w:tblPr>
      <w:tblGrid>
        <w:gridCol w:w="829"/>
        <w:gridCol w:w="3685"/>
        <w:gridCol w:w="1674"/>
        <w:gridCol w:w="972"/>
        <w:gridCol w:w="972"/>
        <w:gridCol w:w="1805"/>
      </w:tblGrid>
      <w:tr w14:paraId="7647173D">
        <w:tblPrEx>
          <w:tblCellMar>
            <w:top w:w="0" w:type="dxa"/>
            <w:left w:w="108" w:type="dxa"/>
            <w:bottom w:w="0" w:type="dxa"/>
            <w:right w:w="108" w:type="dxa"/>
          </w:tblCellMar>
        </w:tblPrEx>
        <w:trPr>
          <w:trHeight w:val="574" w:hRule="atLeast"/>
        </w:trPr>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5AE2">
            <w:pPr>
              <w:spacing w:line="260" w:lineRule="exact"/>
              <w:rPr>
                <w:rFonts w:ascii="仿宋" w:hAnsi="仿宋" w:eastAsia="仿宋" w:cs="仿宋"/>
                <w:sz w:val="24"/>
                <w:szCs w:val="24"/>
              </w:rPr>
            </w:pPr>
            <w:r>
              <w:rPr>
                <w:rFonts w:hint="eastAsia" w:ascii="仿宋" w:hAnsi="仿宋" w:eastAsia="仿宋" w:cs="仿宋"/>
                <w:sz w:val="24"/>
                <w:szCs w:val="24"/>
              </w:rPr>
              <w:t>序号</w:t>
            </w:r>
          </w:p>
        </w:tc>
        <w:tc>
          <w:tcPr>
            <w:tcW w:w="3685" w:type="dxa"/>
            <w:tcBorders>
              <w:top w:val="single" w:color="auto" w:sz="4" w:space="0"/>
              <w:left w:val="nil"/>
              <w:bottom w:val="single" w:color="auto" w:sz="4" w:space="0"/>
              <w:right w:val="single" w:color="auto" w:sz="4" w:space="0"/>
            </w:tcBorders>
            <w:shd w:val="clear" w:color="auto" w:fill="auto"/>
            <w:noWrap/>
            <w:vAlign w:val="center"/>
          </w:tcPr>
          <w:p w14:paraId="14C27C9A">
            <w:pPr>
              <w:spacing w:line="26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1674" w:type="dxa"/>
            <w:tcBorders>
              <w:top w:val="single" w:color="auto" w:sz="4" w:space="0"/>
              <w:left w:val="nil"/>
              <w:bottom w:val="single" w:color="auto" w:sz="4" w:space="0"/>
              <w:right w:val="single" w:color="auto" w:sz="4" w:space="0"/>
            </w:tcBorders>
            <w:shd w:val="clear" w:color="auto" w:fill="auto"/>
            <w:noWrap/>
            <w:vAlign w:val="center"/>
          </w:tcPr>
          <w:p w14:paraId="0432D406">
            <w:pPr>
              <w:spacing w:line="260" w:lineRule="exact"/>
              <w:jc w:val="center"/>
              <w:rPr>
                <w:rFonts w:ascii="仿宋" w:hAnsi="仿宋" w:eastAsia="仿宋" w:cs="仿宋"/>
                <w:sz w:val="24"/>
                <w:szCs w:val="24"/>
              </w:rPr>
            </w:pPr>
            <w:r>
              <w:rPr>
                <w:rFonts w:hint="eastAsia" w:ascii="仿宋" w:hAnsi="仿宋" w:eastAsia="仿宋" w:cs="仿宋"/>
                <w:sz w:val="24"/>
                <w:szCs w:val="24"/>
              </w:rPr>
              <w:t>项目负责人</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2CFCA6E0">
            <w:pPr>
              <w:spacing w:line="260" w:lineRule="exact"/>
              <w:jc w:val="center"/>
              <w:rPr>
                <w:rFonts w:ascii="仿宋" w:hAnsi="仿宋" w:eastAsia="仿宋" w:cs="仿宋"/>
                <w:sz w:val="24"/>
                <w:szCs w:val="24"/>
              </w:rPr>
            </w:pPr>
            <w:r>
              <w:rPr>
                <w:rFonts w:hint="eastAsia" w:ascii="仿宋" w:hAnsi="仿宋" w:eastAsia="仿宋" w:cs="仿宋"/>
                <w:sz w:val="24"/>
                <w:szCs w:val="24"/>
              </w:rPr>
              <w:t>下拨</w:t>
            </w:r>
          </w:p>
          <w:p w14:paraId="739A97CB">
            <w:pPr>
              <w:spacing w:line="260" w:lineRule="exact"/>
              <w:jc w:val="center"/>
              <w:rPr>
                <w:rFonts w:ascii="仿宋" w:hAnsi="仿宋" w:eastAsia="仿宋" w:cs="仿宋"/>
                <w:sz w:val="24"/>
                <w:szCs w:val="24"/>
              </w:rPr>
            </w:pPr>
            <w:r>
              <w:rPr>
                <w:rFonts w:hint="eastAsia" w:ascii="仿宋" w:hAnsi="仿宋" w:eastAsia="仿宋" w:cs="仿宋"/>
                <w:sz w:val="24"/>
                <w:szCs w:val="24"/>
              </w:rPr>
              <w:t>经费</w:t>
            </w:r>
          </w:p>
        </w:tc>
        <w:tc>
          <w:tcPr>
            <w:tcW w:w="972" w:type="dxa"/>
            <w:tcBorders>
              <w:top w:val="single" w:color="auto" w:sz="4" w:space="0"/>
              <w:left w:val="nil"/>
              <w:bottom w:val="single" w:color="auto" w:sz="4" w:space="0"/>
              <w:right w:val="single" w:color="auto" w:sz="4" w:space="0"/>
            </w:tcBorders>
            <w:shd w:val="clear" w:color="auto" w:fill="auto"/>
            <w:noWrap/>
            <w:vAlign w:val="center"/>
          </w:tcPr>
          <w:p w14:paraId="0CBE3E56">
            <w:pPr>
              <w:spacing w:line="260" w:lineRule="exact"/>
              <w:jc w:val="center"/>
              <w:rPr>
                <w:rFonts w:ascii="仿宋" w:hAnsi="仿宋" w:eastAsia="仿宋" w:cs="仿宋"/>
                <w:sz w:val="24"/>
                <w:szCs w:val="24"/>
              </w:rPr>
            </w:pPr>
            <w:r>
              <w:rPr>
                <w:rFonts w:hint="eastAsia" w:ascii="仿宋" w:hAnsi="仿宋" w:eastAsia="仿宋" w:cs="仿宋"/>
                <w:sz w:val="24"/>
                <w:szCs w:val="24"/>
              </w:rPr>
              <w:t>支出</w:t>
            </w:r>
          </w:p>
        </w:tc>
        <w:tc>
          <w:tcPr>
            <w:tcW w:w="1805" w:type="dxa"/>
            <w:tcBorders>
              <w:top w:val="single" w:color="auto" w:sz="4" w:space="0"/>
              <w:left w:val="nil"/>
              <w:bottom w:val="single" w:color="auto" w:sz="4" w:space="0"/>
              <w:right w:val="single" w:color="auto" w:sz="4" w:space="0"/>
            </w:tcBorders>
            <w:shd w:val="clear" w:color="auto" w:fill="auto"/>
            <w:noWrap/>
            <w:vAlign w:val="center"/>
          </w:tcPr>
          <w:p w14:paraId="796A18D2">
            <w:pPr>
              <w:spacing w:line="260" w:lineRule="exact"/>
              <w:jc w:val="center"/>
              <w:rPr>
                <w:rFonts w:ascii="仿宋" w:hAnsi="仿宋" w:eastAsia="仿宋" w:cs="仿宋"/>
                <w:sz w:val="24"/>
                <w:szCs w:val="24"/>
              </w:rPr>
            </w:pPr>
            <w:r>
              <w:rPr>
                <w:rFonts w:hint="eastAsia" w:ascii="仿宋" w:hAnsi="仿宋" w:eastAsia="仿宋" w:cs="仿宋"/>
                <w:sz w:val="24"/>
                <w:szCs w:val="24"/>
              </w:rPr>
              <w:t>2020年结余</w:t>
            </w:r>
          </w:p>
        </w:tc>
      </w:tr>
      <w:tr w14:paraId="61AB29DF">
        <w:tblPrEx>
          <w:tblCellMar>
            <w:top w:w="0" w:type="dxa"/>
            <w:left w:w="108" w:type="dxa"/>
            <w:bottom w:w="0" w:type="dxa"/>
            <w:right w:w="108" w:type="dxa"/>
          </w:tblCellMar>
        </w:tblPrEx>
        <w:trPr>
          <w:trHeight w:val="574" w:hRule="atLeast"/>
        </w:trPr>
        <w:tc>
          <w:tcPr>
            <w:tcW w:w="829" w:type="dxa"/>
            <w:tcBorders>
              <w:top w:val="nil"/>
              <w:left w:val="single" w:color="auto" w:sz="4" w:space="0"/>
              <w:bottom w:val="single" w:color="auto" w:sz="4" w:space="0"/>
              <w:right w:val="single" w:color="auto" w:sz="4" w:space="0"/>
            </w:tcBorders>
            <w:shd w:val="clear" w:color="auto" w:fill="auto"/>
            <w:noWrap/>
            <w:vAlign w:val="center"/>
          </w:tcPr>
          <w:p w14:paraId="20536F2E">
            <w:pPr>
              <w:spacing w:line="260" w:lineRule="exact"/>
              <w:jc w:val="center"/>
              <w:rPr>
                <w:rFonts w:ascii="仿宋" w:hAnsi="仿宋" w:eastAsia="仿宋" w:cs="仿宋"/>
                <w:sz w:val="24"/>
                <w:szCs w:val="24"/>
              </w:rPr>
            </w:pPr>
            <w:r>
              <w:rPr>
                <w:rFonts w:hint="eastAsia" w:ascii="仿宋" w:hAnsi="仿宋" w:eastAsia="仿宋" w:cs="仿宋"/>
                <w:sz w:val="24"/>
                <w:szCs w:val="24"/>
              </w:rPr>
              <w:t>1</w:t>
            </w:r>
          </w:p>
        </w:tc>
        <w:tc>
          <w:tcPr>
            <w:tcW w:w="3685" w:type="dxa"/>
            <w:tcBorders>
              <w:top w:val="nil"/>
              <w:left w:val="nil"/>
              <w:bottom w:val="single" w:color="auto" w:sz="4" w:space="0"/>
              <w:right w:val="single" w:color="auto" w:sz="4" w:space="0"/>
            </w:tcBorders>
            <w:shd w:val="clear" w:color="auto" w:fill="auto"/>
            <w:vAlign w:val="center"/>
          </w:tcPr>
          <w:p w14:paraId="3BDD0078">
            <w:pPr>
              <w:spacing w:line="260" w:lineRule="exact"/>
              <w:rPr>
                <w:rFonts w:ascii="仿宋" w:hAnsi="仿宋" w:eastAsia="仿宋" w:cs="仿宋"/>
                <w:sz w:val="24"/>
                <w:szCs w:val="24"/>
              </w:rPr>
            </w:pPr>
            <w:r>
              <w:rPr>
                <w:rFonts w:hint="eastAsia" w:ascii="仿宋" w:hAnsi="仿宋" w:eastAsia="仿宋" w:cs="仿宋"/>
                <w:sz w:val="24"/>
                <w:szCs w:val="24"/>
              </w:rPr>
              <w:t>阿尔茨海默病的新机制：调节脑IDOL-LDLR轴</w:t>
            </w:r>
          </w:p>
        </w:tc>
        <w:tc>
          <w:tcPr>
            <w:tcW w:w="1674" w:type="dxa"/>
            <w:tcBorders>
              <w:top w:val="nil"/>
              <w:left w:val="nil"/>
              <w:bottom w:val="single" w:color="auto" w:sz="4" w:space="0"/>
              <w:right w:val="single" w:color="auto" w:sz="4" w:space="0"/>
            </w:tcBorders>
            <w:shd w:val="clear" w:color="auto" w:fill="auto"/>
            <w:vAlign w:val="center"/>
          </w:tcPr>
          <w:p w14:paraId="2867BD62">
            <w:pPr>
              <w:spacing w:line="260" w:lineRule="exact"/>
              <w:rPr>
                <w:rFonts w:ascii="仿宋" w:hAnsi="仿宋" w:eastAsia="仿宋" w:cs="仿宋"/>
                <w:sz w:val="24"/>
                <w:szCs w:val="24"/>
              </w:rPr>
            </w:pPr>
            <w:r>
              <w:rPr>
                <w:rFonts w:hint="eastAsia" w:ascii="仿宋" w:hAnsi="仿宋" w:eastAsia="仿宋" w:cs="仿宋"/>
                <w:sz w:val="24"/>
                <w:szCs w:val="24"/>
              </w:rPr>
              <w:t>田英</w:t>
            </w:r>
          </w:p>
        </w:tc>
        <w:tc>
          <w:tcPr>
            <w:tcW w:w="972" w:type="dxa"/>
            <w:tcBorders>
              <w:top w:val="nil"/>
              <w:left w:val="nil"/>
              <w:bottom w:val="single" w:color="auto" w:sz="4" w:space="0"/>
              <w:right w:val="single" w:color="auto" w:sz="4" w:space="0"/>
            </w:tcBorders>
            <w:shd w:val="clear" w:color="auto" w:fill="auto"/>
            <w:noWrap/>
            <w:vAlign w:val="center"/>
          </w:tcPr>
          <w:p w14:paraId="2ED91E83">
            <w:pPr>
              <w:spacing w:line="260" w:lineRule="exact"/>
              <w:rPr>
                <w:rFonts w:ascii="仿宋" w:hAnsi="仿宋" w:eastAsia="仿宋" w:cs="仿宋"/>
                <w:sz w:val="24"/>
                <w:szCs w:val="24"/>
              </w:rPr>
            </w:pPr>
            <w:r>
              <w:rPr>
                <w:rFonts w:hint="eastAsia" w:ascii="仿宋" w:hAnsi="仿宋" w:eastAsia="仿宋" w:cs="仿宋"/>
                <w:sz w:val="24"/>
                <w:szCs w:val="24"/>
              </w:rPr>
              <w:t xml:space="preserve">1.00 </w:t>
            </w:r>
          </w:p>
        </w:tc>
        <w:tc>
          <w:tcPr>
            <w:tcW w:w="972" w:type="dxa"/>
            <w:tcBorders>
              <w:top w:val="nil"/>
              <w:left w:val="nil"/>
              <w:bottom w:val="single" w:color="auto" w:sz="4" w:space="0"/>
              <w:right w:val="single" w:color="auto" w:sz="4" w:space="0"/>
            </w:tcBorders>
            <w:shd w:val="clear" w:color="auto" w:fill="auto"/>
            <w:noWrap/>
            <w:vAlign w:val="center"/>
          </w:tcPr>
          <w:p w14:paraId="5A744D1F">
            <w:pPr>
              <w:spacing w:line="260" w:lineRule="exact"/>
              <w:rPr>
                <w:rFonts w:ascii="仿宋" w:hAnsi="仿宋" w:eastAsia="仿宋" w:cs="仿宋"/>
                <w:sz w:val="24"/>
                <w:szCs w:val="24"/>
              </w:rPr>
            </w:pPr>
            <w:r>
              <w:rPr>
                <w:rFonts w:hint="eastAsia" w:ascii="仿宋" w:hAnsi="仿宋" w:eastAsia="仿宋" w:cs="仿宋"/>
                <w:sz w:val="24"/>
                <w:szCs w:val="24"/>
              </w:rPr>
              <w:t>0.00　</w:t>
            </w:r>
          </w:p>
        </w:tc>
        <w:tc>
          <w:tcPr>
            <w:tcW w:w="1805" w:type="dxa"/>
            <w:tcBorders>
              <w:top w:val="nil"/>
              <w:left w:val="nil"/>
              <w:bottom w:val="single" w:color="auto" w:sz="4" w:space="0"/>
              <w:right w:val="single" w:color="auto" w:sz="4" w:space="0"/>
            </w:tcBorders>
            <w:shd w:val="clear" w:color="auto" w:fill="auto"/>
            <w:noWrap/>
            <w:vAlign w:val="center"/>
          </w:tcPr>
          <w:p w14:paraId="3ABF8DAE">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1.00 </w:t>
            </w:r>
          </w:p>
        </w:tc>
      </w:tr>
      <w:tr w14:paraId="40A412C1">
        <w:tblPrEx>
          <w:tblCellMar>
            <w:top w:w="0" w:type="dxa"/>
            <w:left w:w="108" w:type="dxa"/>
            <w:bottom w:w="0" w:type="dxa"/>
            <w:right w:w="108" w:type="dxa"/>
          </w:tblCellMar>
        </w:tblPrEx>
        <w:trPr>
          <w:trHeight w:val="855" w:hRule="atLeast"/>
        </w:trPr>
        <w:tc>
          <w:tcPr>
            <w:tcW w:w="829" w:type="dxa"/>
            <w:tcBorders>
              <w:top w:val="nil"/>
              <w:left w:val="single" w:color="auto" w:sz="4" w:space="0"/>
              <w:bottom w:val="single" w:color="auto" w:sz="4" w:space="0"/>
              <w:right w:val="single" w:color="auto" w:sz="4" w:space="0"/>
            </w:tcBorders>
            <w:shd w:val="clear" w:color="auto" w:fill="auto"/>
            <w:noWrap/>
            <w:vAlign w:val="center"/>
          </w:tcPr>
          <w:p w14:paraId="7E722BCC">
            <w:pPr>
              <w:spacing w:line="260" w:lineRule="exact"/>
              <w:jc w:val="center"/>
              <w:rPr>
                <w:rFonts w:ascii="仿宋" w:hAnsi="仿宋" w:eastAsia="仿宋" w:cs="仿宋"/>
                <w:sz w:val="24"/>
                <w:szCs w:val="24"/>
              </w:rPr>
            </w:pPr>
            <w:r>
              <w:rPr>
                <w:rFonts w:hint="eastAsia" w:ascii="仿宋" w:hAnsi="仿宋" w:eastAsia="仿宋" w:cs="仿宋"/>
                <w:sz w:val="24"/>
                <w:szCs w:val="24"/>
              </w:rPr>
              <w:t>2</w:t>
            </w:r>
          </w:p>
        </w:tc>
        <w:tc>
          <w:tcPr>
            <w:tcW w:w="3685" w:type="dxa"/>
            <w:tcBorders>
              <w:top w:val="nil"/>
              <w:left w:val="nil"/>
              <w:bottom w:val="single" w:color="auto" w:sz="4" w:space="0"/>
              <w:right w:val="single" w:color="auto" w:sz="4" w:space="0"/>
            </w:tcBorders>
            <w:shd w:val="clear" w:color="auto" w:fill="auto"/>
            <w:vAlign w:val="center"/>
          </w:tcPr>
          <w:p w14:paraId="7D071E80">
            <w:pPr>
              <w:spacing w:line="260" w:lineRule="exact"/>
              <w:rPr>
                <w:rFonts w:ascii="仿宋" w:hAnsi="仿宋" w:eastAsia="仿宋" w:cs="仿宋"/>
                <w:sz w:val="24"/>
                <w:szCs w:val="24"/>
              </w:rPr>
            </w:pPr>
            <w:r>
              <w:rPr>
                <w:rFonts w:hint="eastAsia" w:ascii="仿宋" w:hAnsi="仿宋" w:eastAsia="仿宋" w:cs="仿宋"/>
                <w:sz w:val="24"/>
                <w:szCs w:val="24"/>
              </w:rPr>
              <w:t>应用Lamp检测肺炎克雷伯菌感染患者AmpC酶的临床意义</w:t>
            </w:r>
          </w:p>
        </w:tc>
        <w:tc>
          <w:tcPr>
            <w:tcW w:w="1674" w:type="dxa"/>
            <w:tcBorders>
              <w:top w:val="nil"/>
              <w:left w:val="nil"/>
              <w:bottom w:val="single" w:color="auto" w:sz="4" w:space="0"/>
              <w:right w:val="single" w:color="auto" w:sz="4" w:space="0"/>
            </w:tcBorders>
            <w:shd w:val="clear" w:color="auto" w:fill="auto"/>
            <w:vAlign w:val="center"/>
          </w:tcPr>
          <w:p w14:paraId="152A1C33">
            <w:pPr>
              <w:spacing w:line="260" w:lineRule="exact"/>
              <w:rPr>
                <w:rFonts w:ascii="仿宋" w:hAnsi="仿宋" w:eastAsia="仿宋" w:cs="仿宋"/>
                <w:sz w:val="24"/>
                <w:szCs w:val="24"/>
              </w:rPr>
            </w:pPr>
            <w:r>
              <w:rPr>
                <w:rFonts w:hint="eastAsia" w:ascii="仿宋" w:hAnsi="仿宋" w:eastAsia="仿宋" w:cs="仿宋"/>
                <w:sz w:val="24"/>
                <w:szCs w:val="24"/>
              </w:rPr>
              <w:t>田巍</w:t>
            </w:r>
          </w:p>
        </w:tc>
        <w:tc>
          <w:tcPr>
            <w:tcW w:w="972" w:type="dxa"/>
            <w:tcBorders>
              <w:top w:val="nil"/>
              <w:left w:val="nil"/>
              <w:bottom w:val="single" w:color="auto" w:sz="4" w:space="0"/>
              <w:right w:val="single" w:color="auto" w:sz="4" w:space="0"/>
            </w:tcBorders>
            <w:shd w:val="clear" w:color="auto" w:fill="auto"/>
            <w:noWrap/>
            <w:vAlign w:val="center"/>
          </w:tcPr>
          <w:p w14:paraId="0B888235">
            <w:pPr>
              <w:spacing w:line="260" w:lineRule="exact"/>
              <w:rPr>
                <w:rFonts w:ascii="仿宋" w:hAnsi="仿宋" w:eastAsia="仿宋" w:cs="仿宋"/>
                <w:sz w:val="24"/>
                <w:szCs w:val="24"/>
              </w:rPr>
            </w:pPr>
            <w:r>
              <w:rPr>
                <w:rFonts w:hint="eastAsia" w:ascii="仿宋" w:hAnsi="仿宋" w:eastAsia="仿宋" w:cs="仿宋"/>
                <w:sz w:val="24"/>
                <w:szCs w:val="24"/>
              </w:rPr>
              <w:t xml:space="preserve">2.00 </w:t>
            </w:r>
          </w:p>
        </w:tc>
        <w:tc>
          <w:tcPr>
            <w:tcW w:w="972" w:type="dxa"/>
            <w:tcBorders>
              <w:top w:val="nil"/>
              <w:left w:val="nil"/>
              <w:bottom w:val="single" w:color="auto" w:sz="4" w:space="0"/>
              <w:right w:val="single" w:color="auto" w:sz="4" w:space="0"/>
            </w:tcBorders>
            <w:shd w:val="clear" w:color="auto" w:fill="auto"/>
            <w:noWrap/>
            <w:vAlign w:val="center"/>
          </w:tcPr>
          <w:p w14:paraId="0EF7EF24">
            <w:pPr>
              <w:spacing w:line="260" w:lineRule="exact"/>
              <w:rPr>
                <w:rFonts w:ascii="仿宋" w:hAnsi="仿宋" w:eastAsia="仿宋" w:cs="仿宋"/>
                <w:sz w:val="24"/>
                <w:szCs w:val="24"/>
              </w:rPr>
            </w:pPr>
            <w:r>
              <w:rPr>
                <w:rFonts w:hint="eastAsia" w:ascii="仿宋" w:hAnsi="仿宋" w:eastAsia="仿宋" w:cs="仿宋"/>
                <w:sz w:val="24"/>
                <w:szCs w:val="24"/>
              </w:rPr>
              <w:t>0.00　　</w:t>
            </w:r>
          </w:p>
        </w:tc>
        <w:tc>
          <w:tcPr>
            <w:tcW w:w="1805" w:type="dxa"/>
            <w:tcBorders>
              <w:top w:val="nil"/>
              <w:left w:val="nil"/>
              <w:bottom w:val="single" w:color="auto" w:sz="4" w:space="0"/>
              <w:right w:val="single" w:color="auto" w:sz="4" w:space="0"/>
            </w:tcBorders>
            <w:shd w:val="clear" w:color="auto" w:fill="auto"/>
            <w:noWrap/>
            <w:vAlign w:val="center"/>
          </w:tcPr>
          <w:p w14:paraId="589E0148">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2.00 </w:t>
            </w:r>
          </w:p>
        </w:tc>
      </w:tr>
      <w:tr w14:paraId="7579C98E">
        <w:tblPrEx>
          <w:tblCellMar>
            <w:top w:w="0" w:type="dxa"/>
            <w:left w:w="108" w:type="dxa"/>
            <w:bottom w:w="0" w:type="dxa"/>
            <w:right w:w="108" w:type="dxa"/>
          </w:tblCellMar>
        </w:tblPrEx>
        <w:trPr>
          <w:trHeight w:val="541" w:hRule="atLeast"/>
        </w:trPr>
        <w:tc>
          <w:tcPr>
            <w:tcW w:w="61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7049A8">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小计</w:t>
            </w:r>
          </w:p>
        </w:tc>
        <w:tc>
          <w:tcPr>
            <w:tcW w:w="972" w:type="dxa"/>
            <w:tcBorders>
              <w:top w:val="nil"/>
              <w:left w:val="nil"/>
              <w:bottom w:val="single" w:color="auto" w:sz="4" w:space="0"/>
              <w:right w:val="single" w:color="auto" w:sz="4" w:space="0"/>
            </w:tcBorders>
            <w:shd w:val="clear" w:color="auto" w:fill="auto"/>
            <w:noWrap/>
            <w:vAlign w:val="center"/>
          </w:tcPr>
          <w:p w14:paraId="7BC6A02C">
            <w:pPr>
              <w:spacing w:line="260" w:lineRule="exact"/>
              <w:rPr>
                <w:rFonts w:ascii="仿宋" w:hAnsi="仿宋" w:eastAsia="仿宋" w:cs="仿宋"/>
                <w:sz w:val="24"/>
                <w:szCs w:val="24"/>
              </w:rPr>
            </w:pPr>
            <w:r>
              <w:rPr>
                <w:rFonts w:hint="eastAsia" w:ascii="仿宋" w:hAnsi="仿宋" w:eastAsia="仿宋" w:cs="仿宋"/>
                <w:sz w:val="24"/>
                <w:szCs w:val="24"/>
              </w:rPr>
              <w:t xml:space="preserve">3.00 </w:t>
            </w:r>
          </w:p>
        </w:tc>
        <w:tc>
          <w:tcPr>
            <w:tcW w:w="972" w:type="dxa"/>
            <w:tcBorders>
              <w:top w:val="nil"/>
              <w:left w:val="nil"/>
              <w:bottom w:val="single" w:color="auto" w:sz="4" w:space="0"/>
              <w:right w:val="single" w:color="auto" w:sz="4" w:space="0"/>
            </w:tcBorders>
            <w:shd w:val="clear" w:color="auto" w:fill="auto"/>
            <w:noWrap/>
            <w:vAlign w:val="center"/>
          </w:tcPr>
          <w:p w14:paraId="0DFBB8CA">
            <w:pPr>
              <w:spacing w:line="260" w:lineRule="exact"/>
              <w:rPr>
                <w:rFonts w:ascii="仿宋" w:hAnsi="仿宋" w:eastAsia="仿宋" w:cs="仿宋"/>
                <w:sz w:val="24"/>
                <w:szCs w:val="24"/>
              </w:rPr>
            </w:pPr>
            <w:r>
              <w:rPr>
                <w:rFonts w:hint="eastAsia" w:ascii="仿宋" w:hAnsi="仿宋" w:eastAsia="仿宋" w:cs="仿宋"/>
                <w:sz w:val="24"/>
                <w:szCs w:val="24"/>
              </w:rPr>
              <w:t xml:space="preserve">0.00 </w:t>
            </w:r>
          </w:p>
        </w:tc>
        <w:tc>
          <w:tcPr>
            <w:tcW w:w="1805" w:type="dxa"/>
            <w:tcBorders>
              <w:top w:val="nil"/>
              <w:left w:val="nil"/>
              <w:bottom w:val="single" w:color="auto" w:sz="4" w:space="0"/>
              <w:right w:val="single" w:color="auto" w:sz="4" w:space="0"/>
            </w:tcBorders>
            <w:shd w:val="clear" w:color="auto" w:fill="auto"/>
            <w:noWrap/>
            <w:vAlign w:val="center"/>
          </w:tcPr>
          <w:p w14:paraId="0CECDA27">
            <w:pPr>
              <w:spacing w:line="2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3.00 </w:t>
            </w:r>
          </w:p>
        </w:tc>
      </w:tr>
    </w:tbl>
    <w:p w14:paraId="5C36400D">
      <w:pPr>
        <w:spacing w:line="600" w:lineRule="exact"/>
        <w:rPr>
          <w:rFonts w:eastAsia="仿宋_GB2312"/>
          <w:sz w:val="32"/>
          <w:szCs w:val="32"/>
        </w:rPr>
      </w:pPr>
      <w:r>
        <w:rPr>
          <w:rFonts w:hint="eastAsia" w:eastAsia="仿宋_GB2312"/>
          <w:sz w:val="32"/>
          <w:szCs w:val="32"/>
        </w:rPr>
        <w:t>　　</w:t>
      </w:r>
    </w:p>
    <w:p w14:paraId="2844091E">
      <w:pPr>
        <w:spacing w:line="600" w:lineRule="exact"/>
        <w:rPr>
          <w:rFonts w:eastAsia="仿宋_GB2312"/>
          <w:sz w:val="32"/>
          <w:szCs w:val="32"/>
        </w:rPr>
      </w:pPr>
      <w:r>
        <w:rPr>
          <w:rFonts w:hint="eastAsia" w:eastAsia="仿宋_GB2312"/>
          <w:sz w:val="32"/>
          <w:szCs w:val="32"/>
        </w:rPr>
        <w:t>　　4.病人欠费。收到财政补助资金20万元，用以弥补医院收治三无病人或其他欠费病人的医疗费用。2020年全年病人欠费净额190.2万元，此拨款仅能弥补一部分欠费，大部分仍由医院承担。</w:t>
      </w:r>
    </w:p>
    <w:p w14:paraId="551E87EF">
      <w:pPr>
        <w:spacing w:line="600" w:lineRule="exact"/>
        <w:ind w:firstLine="640"/>
        <w:rPr>
          <w:rFonts w:eastAsia="仿宋_GB2312"/>
          <w:sz w:val="32"/>
          <w:szCs w:val="32"/>
        </w:rPr>
      </w:pPr>
      <w:r>
        <w:rPr>
          <w:rFonts w:hint="eastAsia" w:eastAsia="仿宋_GB2312"/>
          <w:sz w:val="32"/>
          <w:szCs w:val="32"/>
        </w:rPr>
        <w:t>5.公立医院修缮购置。为改善医疗条件，医院2020年启动了第二住院楼的修缮，该修缮项目预算总投资共7655.98万元，其中工程费用6353.57万元，工程建设及其他费用735.3万元，预备费567.11万元。对此项目，财政拨款补助900万，其余资金由医院自筹。</w:t>
      </w:r>
    </w:p>
    <w:p w14:paraId="0F51B2F8">
      <w:pPr>
        <w:spacing w:line="600" w:lineRule="exact"/>
        <w:ind w:firstLine="640"/>
        <w:rPr>
          <w:rFonts w:eastAsia="仿宋_GB2312"/>
          <w:sz w:val="32"/>
          <w:szCs w:val="32"/>
        </w:rPr>
      </w:pPr>
      <w:r>
        <w:rPr>
          <w:rFonts w:hint="eastAsia" w:eastAsia="仿宋_GB2312"/>
          <w:sz w:val="32"/>
          <w:szCs w:val="32"/>
        </w:rPr>
        <w:t>6.创新型省份建设专项资金。2020年医院共获得4个创新型省份建设项目，收到财政资金35万元，用于进一步提高医疗及科研能力，目前该项目正在积极开展中，资金使用进度较慢，结余资金较多。具体明细如下：</w:t>
      </w:r>
    </w:p>
    <w:p w14:paraId="4C4B9116">
      <w:pPr>
        <w:spacing w:line="600" w:lineRule="exact"/>
        <w:ind w:firstLine="640"/>
        <w:rPr>
          <w:rFonts w:eastAsia="仿宋_GB2312"/>
          <w:sz w:val="32"/>
          <w:szCs w:val="32"/>
        </w:rPr>
      </w:pPr>
      <w:r>
        <w:rPr>
          <w:rFonts w:hint="eastAsia" w:eastAsia="仿宋_GB2312"/>
          <w:sz w:val="32"/>
          <w:szCs w:val="32"/>
        </w:rPr>
        <w:t>　　　　　　　　　　　　　　　　　　　</w:t>
      </w:r>
      <w:r>
        <w:rPr>
          <w:rFonts w:hint="eastAsia" w:eastAsia="仿宋_GB2312"/>
          <w:sz w:val="24"/>
          <w:szCs w:val="24"/>
        </w:rPr>
        <w:t>（单位：万元）</w:t>
      </w:r>
      <w:r>
        <w:rPr>
          <w:rFonts w:hint="eastAsia" w:eastAsia="仿宋_GB2312"/>
          <w:sz w:val="32"/>
          <w:szCs w:val="32"/>
        </w:rPr>
        <w:t>　</w:t>
      </w:r>
    </w:p>
    <w:tbl>
      <w:tblPr>
        <w:tblStyle w:val="5"/>
        <w:tblW w:w="10017" w:type="dxa"/>
        <w:tblInd w:w="93" w:type="dxa"/>
        <w:tblLayout w:type="fixed"/>
        <w:tblCellMar>
          <w:top w:w="0" w:type="dxa"/>
          <w:left w:w="108" w:type="dxa"/>
          <w:bottom w:w="0" w:type="dxa"/>
          <w:right w:w="108" w:type="dxa"/>
        </w:tblCellMar>
      </w:tblPr>
      <w:tblGrid>
        <w:gridCol w:w="520"/>
        <w:gridCol w:w="4818"/>
        <w:gridCol w:w="1092"/>
        <w:gridCol w:w="1223"/>
        <w:gridCol w:w="913"/>
        <w:gridCol w:w="1451"/>
      </w:tblGrid>
      <w:tr w14:paraId="0D38AFDF">
        <w:tblPrEx>
          <w:tblCellMar>
            <w:top w:w="0" w:type="dxa"/>
            <w:left w:w="108" w:type="dxa"/>
            <w:bottom w:w="0" w:type="dxa"/>
            <w:right w:w="108" w:type="dxa"/>
          </w:tblCellMar>
        </w:tblPrEx>
        <w:trPr>
          <w:trHeight w:val="657"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9CD4A">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4818" w:type="dxa"/>
            <w:tcBorders>
              <w:top w:val="single" w:color="auto" w:sz="4" w:space="0"/>
              <w:left w:val="nil"/>
              <w:bottom w:val="single" w:color="auto" w:sz="4" w:space="0"/>
              <w:right w:val="single" w:color="auto" w:sz="4" w:space="0"/>
            </w:tcBorders>
            <w:shd w:val="clear" w:color="auto" w:fill="auto"/>
            <w:noWrap/>
            <w:vAlign w:val="center"/>
          </w:tcPr>
          <w:p w14:paraId="3515509F">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1092" w:type="dxa"/>
            <w:tcBorders>
              <w:top w:val="single" w:color="auto" w:sz="4" w:space="0"/>
              <w:left w:val="nil"/>
              <w:bottom w:val="single" w:color="auto" w:sz="4" w:space="0"/>
              <w:right w:val="single" w:color="auto" w:sz="4" w:space="0"/>
            </w:tcBorders>
            <w:shd w:val="clear" w:color="auto" w:fill="auto"/>
            <w:noWrap/>
            <w:vAlign w:val="center"/>
          </w:tcPr>
          <w:p w14:paraId="0DC2BB35">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223" w:type="dxa"/>
            <w:tcBorders>
              <w:top w:val="single" w:color="auto" w:sz="4" w:space="0"/>
              <w:left w:val="nil"/>
              <w:bottom w:val="single" w:color="auto" w:sz="4" w:space="0"/>
              <w:right w:val="single" w:color="auto" w:sz="4" w:space="0"/>
            </w:tcBorders>
            <w:shd w:val="clear" w:color="auto" w:fill="auto"/>
            <w:noWrap/>
            <w:vAlign w:val="center"/>
          </w:tcPr>
          <w:p w14:paraId="029492C2">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下拨</w:t>
            </w:r>
          </w:p>
          <w:p w14:paraId="18CEE04A">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经费</w:t>
            </w:r>
          </w:p>
        </w:tc>
        <w:tc>
          <w:tcPr>
            <w:tcW w:w="913" w:type="dxa"/>
            <w:tcBorders>
              <w:top w:val="single" w:color="auto" w:sz="4" w:space="0"/>
              <w:left w:val="nil"/>
              <w:bottom w:val="single" w:color="auto" w:sz="4" w:space="0"/>
              <w:right w:val="single" w:color="auto" w:sz="4" w:space="0"/>
            </w:tcBorders>
            <w:shd w:val="clear" w:color="auto" w:fill="auto"/>
            <w:noWrap/>
            <w:vAlign w:val="center"/>
          </w:tcPr>
          <w:p w14:paraId="537F391F">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支出</w:t>
            </w:r>
          </w:p>
        </w:tc>
        <w:tc>
          <w:tcPr>
            <w:tcW w:w="1451" w:type="dxa"/>
            <w:tcBorders>
              <w:top w:val="single" w:color="auto" w:sz="4" w:space="0"/>
              <w:left w:val="nil"/>
              <w:bottom w:val="single" w:color="auto" w:sz="4" w:space="0"/>
              <w:right w:val="single" w:color="auto" w:sz="4" w:space="0"/>
            </w:tcBorders>
            <w:shd w:val="clear" w:color="auto" w:fill="auto"/>
            <w:noWrap/>
            <w:vAlign w:val="center"/>
          </w:tcPr>
          <w:p w14:paraId="52BF3A9E">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2020年结余</w:t>
            </w:r>
          </w:p>
        </w:tc>
      </w:tr>
      <w:tr w14:paraId="56DC9CA6">
        <w:tblPrEx>
          <w:tblCellMar>
            <w:top w:w="0" w:type="dxa"/>
            <w:left w:w="108" w:type="dxa"/>
            <w:bottom w:w="0" w:type="dxa"/>
            <w:right w:w="108" w:type="dxa"/>
          </w:tblCellMar>
        </w:tblPrEx>
        <w:trPr>
          <w:trHeight w:val="657"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52BFA3C6">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4818" w:type="dxa"/>
            <w:tcBorders>
              <w:top w:val="nil"/>
              <w:left w:val="nil"/>
              <w:bottom w:val="single" w:color="auto" w:sz="4" w:space="0"/>
              <w:right w:val="single" w:color="auto" w:sz="4" w:space="0"/>
            </w:tcBorders>
            <w:shd w:val="clear" w:color="auto" w:fill="auto"/>
            <w:vAlign w:val="center"/>
          </w:tcPr>
          <w:p w14:paraId="1CFAD1C0">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调控海马焦亡(pyroptosis)：硫化氢抗帕金森病相关认知功能障碍新机制</w:t>
            </w:r>
          </w:p>
        </w:tc>
        <w:tc>
          <w:tcPr>
            <w:tcW w:w="1092" w:type="dxa"/>
            <w:tcBorders>
              <w:top w:val="nil"/>
              <w:left w:val="nil"/>
              <w:bottom w:val="single" w:color="auto" w:sz="4" w:space="0"/>
              <w:right w:val="single" w:color="auto" w:sz="4" w:space="0"/>
            </w:tcBorders>
            <w:shd w:val="clear" w:color="auto" w:fill="auto"/>
            <w:vAlign w:val="center"/>
          </w:tcPr>
          <w:p w14:paraId="5D4D7F07">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张平</w:t>
            </w:r>
          </w:p>
        </w:tc>
        <w:tc>
          <w:tcPr>
            <w:tcW w:w="1223" w:type="dxa"/>
            <w:tcBorders>
              <w:top w:val="nil"/>
              <w:left w:val="nil"/>
              <w:bottom w:val="single" w:color="auto" w:sz="4" w:space="0"/>
              <w:right w:val="single" w:color="auto" w:sz="4" w:space="0"/>
            </w:tcBorders>
            <w:shd w:val="clear" w:color="auto" w:fill="auto"/>
            <w:noWrap/>
            <w:vAlign w:val="center"/>
          </w:tcPr>
          <w:p w14:paraId="010F05F1">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5.00 </w:t>
            </w:r>
          </w:p>
        </w:tc>
        <w:tc>
          <w:tcPr>
            <w:tcW w:w="913" w:type="dxa"/>
            <w:tcBorders>
              <w:top w:val="nil"/>
              <w:left w:val="nil"/>
              <w:bottom w:val="single" w:color="auto" w:sz="4" w:space="0"/>
              <w:right w:val="single" w:color="auto" w:sz="4" w:space="0"/>
            </w:tcBorders>
            <w:shd w:val="clear" w:color="auto" w:fill="auto"/>
            <w:noWrap/>
            <w:vAlign w:val="center"/>
          </w:tcPr>
          <w:p w14:paraId="38638C39">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451" w:type="dxa"/>
            <w:tcBorders>
              <w:top w:val="nil"/>
              <w:left w:val="nil"/>
              <w:bottom w:val="single" w:color="auto" w:sz="4" w:space="0"/>
              <w:right w:val="single" w:color="auto" w:sz="4" w:space="0"/>
            </w:tcBorders>
            <w:shd w:val="clear" w:color="auto" w:fill="auto"/>
            <w:noWrap/>
            <w:vAlign w:val="center"/>
          </w:tcPr>
          <w:p w14:paraId="5E073DD9">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5.00 </w:t>
            </w:r>
          </w:p>
        </w:tc>
      </w:tr>
      <w:tr w14:paraId="031044BB">
        <w:tblPrEx>
          <w:tblCellMar>
            <w:top w:w="0" w:type="dxa"/>
            <w:left w:w="108" w:type="dxa"/>
            <w:bottom w:w="0" w:type="dxa"/>
            <w:right w:w="108" w:type="dxa"/>
          </w:tblCellMar>
        </w:tblPrEx>
        <w:trPr>
          <w:trHeight w:val="657"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68727EF1">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4818" w:type="dxa"/>
            <w:tcBorders>
              <w:top w:val="nil"/>
              <w:left w:val="nil"/>
              <w:bottom w:val="single" w:color="auto" w:sz="4" w:space="0"/>
              <w:right w:val="single" w:color="auto" w:sz="4" w:space="0"/>
            </w:tcBorders>
            <w:shd w:val="clear" w:color="auto" w:fill="auto"/>
            <w:vAlign w:val="center"/>
          </w:tcPr>
          <w:p w14:paraId="0B7CE04F">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阿尔茨海默病的新机制：调节脑IDOL-LDLR轴</w:t>
            </w:r>
          </w:p>
        </w:tc>
        <w:tc>
          <w:tcPr>
            <w:tcW w:w="1092" w:type="dxa"/>
            <w:tcBorders>
              <w:top w:val="nil"/>
              <w:left w:val="nil"/>
              <w:bottom w:val="single" w:color="auto" w:sz="4" w:space="0"/>
              <w:right w:val="single" w:color="auto" w:sz="4" w:space="0"/>
            </w:tcBorders>
            <w:shd w:val="clear" w:color="auto" w:fill="auto"/>
            <w:vAlign w:val="center"/>
          </w:tcPr>
          <w:p w14:paraId="50B5FABC">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田英</w:t>
            </w:r>
          </w:p>
        </w:tc>
        <w:tc>
          <w:tcPr>
            <w:tcW w:w="1223" w:type="dxa"/>
            <w:tcBorders>
              <w:top w:val="nil"/>
              <w:left w:val="nil"/>
              <w:bottom w:val="single" w:color="auto" w:sz="4" w:space="0"/>
              <w:right w:val="single" w:color="auto" w:sz="4" w:space="0"/>
            </w:tcBorders>
            <w:shd w:val="clear" w:color="auto" w:fill="auto"/>
            <w:noWrap/>
            <w:vAlign w:val="center"/>
          </w:tcPr>
          <w:p w14:paraId="7060D570">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5.00 </w:t>
            </w:r>
          </w:p>
        </w:tc>
        <w:tc>
          <w:tcPr>
            <w:tcW w:w="913" w:type="dxa"/>
            <w:tcBorders>
              <w:top w:val="nil"/>
              <w:left w:val="nil"/>
              <w:bottom w:val="single" w:color="auto" w:sz="4" w:space="0"/>
              <w:right w:val="single" w:color="auto" w:sz="4" w:space="0"/>
            </w:tcBorders>
            <w:shd w:val="clear" w:color="auto" w:fill="auto"/>
            <w:noWrap/>
            <w:vAlign w:val="center"/>
          </w:tcPr>
          <w:p w14:paraId="4DE90D0B">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0.06 </w:t>
            </w:r>
          </w:p>
        </w:tc>
        <w:tc>
          <w:tcPr>
            <w:tcW w:w="1451" w:type="dxa"/>
            <w:tcBorders>
              <w:top w:val="nil"/>
              <w:left w:val="nil"/>
              <w:bottom w:val="single" w:color="auto" w:sz="4" w:space="0"/>
              <w:right w:val="single" w:color="auto" w:sz="4" w:space="0"/>
            </w:tcBorders>
            <w:shd w:val="clear" w:color="auto" w:fill="auto"/>
            <w:noWrap/>
            <w:vAlign w:val="center"/>
          </w:tcPr>
          <w:p w14:paraId="00A63372">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4.94 </w:t>
            </w:r>
          </w:p>
        </w:tc>
      </w:tr>
      <w:tr w14:paraId="16607E5F">
        <w:tblPrEx>
          <w:tblCellMar>
            <w:top w:w="0" w:type="dxa"/>
            <w:left w:w="108" w:type="dxa"/>
            <w:bottom w:w="0" w:type="dxa"/>
            <w:right w:w="108" w:type="dxa"/>
          </w:tblCellMar>
        </w:tblPrEx>
        <w:trPr>
          <w:trHeight w:val="657"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222962C6">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4818" w:type="dxa"/>
            <w:tcBorders>
              <w:top w:val="nil"/>
              <w:left w:val="nil"/>
              <w:bottom w:val="single" w:color="auto" w:sz="4" w:space="0"/>
              <w:right w:val="single" w:color="auto" w:sz="4" w:space="0"/>
            </w:tcBorders>
            <w:shd w:val="clear" w:color="auto" w:fill="auto"/>
            <w:vAlign w:val="center"/>
          </w:tcPr>
          <w:p w14:paraId="28BF04AE">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Circ_0001313靶向负调控miR-338-3p抑制结肠癌的辐射敏感性</w:t>
            </w:r>
          </w:p>
        </w:tc>
        <w:tc>
          <w:tcPr>
            <w:tcW w:w="1092" w:type="dxa"/>
            <w:tcBorders>
              <w:top w:val="nil"/>
              <w:left w:val="nil"/>
              <w:bottom w:val="single" w:color="auto" w:sz="4" w:space="0"/>
              <w:right w:val="single" w:color="auto" w:sz="4" w:space="0"/>
            </w:tcBorders>
            <w:shd w:val="clear" w:color="auto" w:fill="auto"/>
            <w:vAlign w:val="center"/>
          </w:tcPr>
          <w:p w14:paraId="432361FD">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刘龙飞</w:t>
            </w:r>
          </w:p>
        </w:tc>
        <w:tc>
          <w:tcPr>
            <w:tcW w:w="1223" w:type="dxa"/>
            <w:tcBorders>
              <w:top w:val="nil"/>
              <w:left w:val="nil"/>
              <w:bottom w:val="single" w:color="auto" w:sz="4" w:space="0"/>
              <w:right w:val="single" w:color="auto" w:sz="4" w:space="0"/>
            </w:tcBorders>
            <w:shd w:val="clear" w:color="auto" w:fill="auto"/>
            <w:noWrap/>
            <w:vAlign w:val="center"/>
          </w:tcPr>
          <w:p w14:paraId="3F72EFC7">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5.00 </w:t>
            </w:r>
          </w:p>
        </w:tc>
        <w:tc>
          <w:tcPr>
            <w:tcW w:w="913" w:type="dxa"/>
            <w:tcBorders>
              <w:top w:val="nil"/>
              <w:left w:val="nil"/>
              <w:bottom w:val="single" w:color="auto" w:sz="4" w:space="0"/>
              <w:right w:val="single" w:color="auto" w:sz="4" w:space="0"/>
            </w:tcBorders>
            <w:shd w:val="clear" w:color="auto" w:fill="auto"/>
            <w:noWrap/>
            <w:vAlign w:val="center"/>
          </w:tcPr>
          <w:p w14:paraId="376584C1">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0.23 </w:t>
            </w:r>
          </w:p>
        </w:tc>
        <w:tc>
          <w:tcPr>
            <w:tcW w:w="1451" w:type="dxa"/>
            <w:tcBorders>
              <w:top w:val="nil"/>
              <w:left w:val="nil"/>
              <w:bottom w:val="single" w:color="auto" w:sz="4" w:space="0"/>
              <w:right w:val="single" w:color="auto" w:sz="4" w:space="0"/>
            </w:tcBorders>
            <w:shd w:val="clear" w:color="auto" w:fill="auto"/>
            <w:noWrap/>
            <w:vAlign w:val="center"/>
          </w:tcPr>
          <w:p w14:paraId="4CA2A353">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4.77 </w:t>
            </w:r>
          </w:p>
        </w:tc>
      </w:tr>
      <w:tr w14:paraId="61847FEE">
        <w:tblPrEx>
          <w:tblCellMar>
            <w:top w:w="0" w:type="dxa"/>
            <w:left w:w="108" w:type="dxa"/>
            <w:bottom w:w="0" w:type="dxa"/>
            <w:right w:w="108" w:type="dxa"/>
          </w:tblCellMar>
        </w:tblPrEx>
        <w:trPr>
          <w:trHeight w:val="657"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14:paraId="0EDCC67A">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4818" w:type="dxa"/>
            <w:tcBorders>
              <w:top w:val="nil"/>
              <w:left w:val="nil"/>
              <w:bottom w:val="single" w:color="auto" w:sz="4" w:space="0"/>
              <w:right w:val="single" w:color="auto" w:sz="4" w:space="0"/>
            </w:tcBorders>
            <w:shd w:val="clear" w:color="auto" w:fill="auto"/>
            <w:vAlign w:val="center"/>
          </w:tcPr>
          <w:p w14:paraId="46B6E021">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新型冠状病毒2019-nCoV致病的分子机理与防治研究</w:t>
            </w:r>
          </w:p>
        </w:tc>
        <w:tc>
          <w:tcPr>
            <w:tcW w:w="1092" w:type="dxa"/>
            <w:tcBorders>
              <w:top w:val="nil"/>
              <w:left w:val="nil"/>
              <w:bottom w:val="single" w:color="auto" w:sz="4" w:space="0"/>
              <w:right w:val="single" w:color="auto" w:sz="4" w:space="0"/>
            </w:tcBorders>
            <w:shd w:val="clear" w:color="auto" w:fill="auto"/>
            <w:vAlign w:val="center"/>
          </w:tcPr>
          <w:p w14:paraId="70C13976">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陈勇军</w:t>
            </w:r>
          </w:p>
        </w:tc>
        <w:tc>
          <w:tcPr>
            <w:tcW w:w="1223" w:type="dxa"/>
            <w:tcBorders>
              <w:top w:val="nil"/>
              <w:left w:val="nil"/>
              <w:bottom w:val="single" w:color="auto" w:sz="4" w:space="0"/>
              <w:right w:val="single" w:color="auto" w:sz="4" w:space="0"/>
            </w:tcBorders>
            <w:shd w:val="clear" w:color="auto" w:fill="auto"/>
            <w:noWrap/>
            <w:vAlign w:val="center"/>
          </w:tcPr>
          <w:p w14:paraId="3FC65E27">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20.00 </w:t>
            </w:r>
          </w:p>
        </w:tc>
        <w:tc>
          <w:tcPr>
            <w:tcW w:w="913" w:type="dxa"/>
            <w:tcBorders>
              <w:top w:val="nil"/>
              <w:left w:val="nil"/>
              <w:bottom w:val="single" w:color="auto" w:sz="4" w:space="0"/>
              <w:right w:val="single" w:color="auto" w:sz="4" w:space="0"/>
            </w:tcBorders>
            <w:shd w:val="clear" w:color="auto" w:fill="auto"/>
            <w:noWrap/>
            <w:vAlign w:val="center"/>
          </w:tcPr>
          <w:p w14:paraId="3816C26E">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2.89 </w:t>
            </w:r>
          </w:p>
        </w:tc>
        <w:tc>
          <w:tcPr>
            <w:tcW w:w="1451" w:type="dxa"/>
            <w:tcBorders>
              <w:top w:val="nil"/>
              <w:left w:val="nil"/>
              <w:bottom w:val="single" w:color="auto" w:sz="4" w:space="0"/>
              <w:right w:val="single" w:color="auto" w:sz="4" w:space="0"/>
            </w:tcBorders>
            <w:shd w:val="clear" w:color="auto" w:fill="auto"/>
            <w:noWrap/>
            <w:vAlign w:val="center"/>
          </w:tcPr>
          <w:p w14:paraId="5C2DBBA5">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17.11 </w:t>
            </w:r>
          </w:p>
        </w:tc>
      </w:tr>
      <w:tr w14:paraId="61D5F9CA">
        <w:tblPrEx>
          <w:tblCellMar>
            <w:top w:w="0" w:type="dxa"/>
            <w:left w:w="108" w:type="dxa"/>
            <w:bottom w:w="0" w:type="dxa"/>
            <w:right w:w="108" w:type="dxa"/>
          </w:tblCellMar>
        </w:tblPrEx>
        <w:trPr>
          <w:trHeight w:val="344" w:hRule="atLeast"/>
        </w:trPr>
        <w:tc>
          <w:tcPr>
            <w:tcW w:w="64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2CC93E">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小计</w:t>
            </w:r>
          </w:p>
        </w:tc>
        <w:tc>
          <w:tcPr>
            <w:tcW w:w="1223" w:type="dxa"/>
            <w:tcBorders>
              <w:top w:val="nil"/>
              <w:left w:val="nil"/>
              <w:bottom w:val="single" w:color="auto" w:sz="4" w:space="0"/>
              <w:right w:val="single" w:color="auto" w:sz="4" w:space="0"/>
            </w:tcBorders>
            <w:shd w:val="clear" w:color="auto" w:fill="auto"/>
            <w:noWrap/>
            <w:vAlign w:val="center"/>
          </w:tcPr>
          <w:p w14:paraId="58312C0F">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35.00 </w:t>
            </w:r>
          </w:p>
        </w:tc>
        <w:tc>
          <w:tcPr>
            <w:tcW w:w="913" w:type="dxa"/>
            <w:tcBorders>
              <w:top w:val="nil"/>
              <w:left w:val="nil"/>
              <w:bottom w:val="single" w:color="auto" w:sz="4" w:space="0"/>
              <w:right w:val="single" w:color="auto" w:sz="4" w:space="0"/>
            </w:tcBorders>
            <w:shd w:val="clear" w:color="auto" w:fill="auto"/>
            <w:noWrap/>
            <w:vAlign w:val="center"/>
          </w:tcPr>
          <w:p w14:paraId="717421CC">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3.18 </w:t>
            </w:r>
          </w:p>
        </w:tc>
        <w:tc>
          <w:tcPr>
            <w:tcW w:w="1451" w:type="dxa"/>
            <w:tcBorders>
              <w:top w:val="nil"/>
              <w:left w:val="nil"/>
              <w:bottom w:val="single" w:color="auto" w:sz="4" w:space="0"/>
              <w:right w:val="single" w:color="auto" w:sz="4" w:space="0"/>
            </w:tcBorders>
            <w:shd w:val="clear" w:color="auto" w:fill="auto"/>
            <w:noWrap/>
            <w:vAlign w:val="center"/>
          </w:tcPr>
          <w:p w14:paraId="0F4193F6">
            <w:pPr>
              <w:widowControl/>
              <w:jc w:val="righ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31.82 </w:t>
            </w:r>
          </w:p>
        </w:tc>
      </w:tr>
    </w:tbl>
    <w:p w14:paraId="68DCA7C7">
      <w:pPr>
        <w:spacing w:line="600" w:lineRule="exact"/>
        <w:rPr>
          <w:rFonts w:eastAsia="仿宋_GB2312"/>
          <w:sz w:val="32"/>
          <w:szCs w:val="32"/>
        </w:rPr>
      </w:pPr>
      <w:r>
        <w:rPr>
          <w:rFonts w:hint="eastAsia" w:eastAsia="仿宋_GB2312"/>
          <w:sz w:val="32"/>
          <w:szCs w:val="32"/>
        </w:rPr>
        <w:t>　　</w:t>
      </w:r>
    </w:p>
    <w:p w14:paraId="741D5E9F">
      <w:pPr>
        <w:spacing w:line="600" w:lineRule="exact"/>
        <w:rPr>
          <w:rFonts w:eastAsia="仿宋_GB2312"/>
          <w:sz w:val="32"/>
          <w:szCs w:val="32"/>
        </w:rPr>
      </w:pPr>
      <w:r>
        <w:rPr>
          <w:rFonts w:hint="eastAsia" w:eastAsia="仿宋_GB2312"/>
          <w:sz w:val="32"/>
          <w:szCs w:val="32"/>
        </w:rPr>
        <w:t>　　7.公共卫生专项。2020年收到公共卫生专项补助资金72.1万，医院已用该资金来弥补取消药品加成的部分，减轻医院负担。</w:t>
      </w:r>
    </w:p>
    <w:p w14:paraId="25C3F818">
      <w:pPr>
        <w:spacing w:line="600" w:lineRule="exact"/>
        <w:ind w:firstLine="640"/>
        <w:rPr>
          <w:rFonts w:eastAsia="仿宋_GB2312"/>
          <w:sz w:val="32"/>
          <w:szCs w:val="32"/>
        </w:rPr>
      </w:pPr>
      <w:r>
        <w:rPr>
          <w:rFonts w:hint="eastAsia" w:eastAsia="仿宋_GB2312"/>
          <w:sz w:val="32"/>
          <w:szCs w:val="32"/>
        </w:rPr>
        <w:t>8.新冠肺炎疫情防控临时性工作补助经费。因新冠疫情，收到追加项目资金6万，为10名省级新冠肺炎重症医疗救治专家一次性慰问补助，已按照相关规定，及时足额发放到人。</w:t>
      </w:r>
    </w:p>
    <w:p w14:paraId="6A116DC8">
      <w:pPr>
        <w:spacing w:line="600" w:lineRule="exact"/>
        <w:ind w:firstLine="640" w:firstLineChars="200"/>
        <w:rPr>
          <w:rFonts w:eastAsia="黑体"/>
          <w:sz w:val="32"/>
          <w:szCs w:val="32"/>
        </w:rPr>
      </w:pPr>
      <w:r>
        <w:rPr>
          <w:rFonts w:eastAsia="黑体"/>
          <w:sz w:val="32"/>
          <w:szCs w:val="32"/>
        </w:rPr>
        <w:t>五、主要经验及做法、存在的问题及原因分析</w:t>
      </w:r>
    </w:p>
    <w:p w14:paraId="39AD9348">
      <w:pPr>
        <w:spacing w:line="600" w:lineRule="exact"/>
        <w:ind w:firstLine="640" w:firstLineChars="200"/>
        <w:rPr>
          <w:rFonts w:eastAsia="仿宋_GB2312"/>
          <w:sz w:val="32"/>
          <w:szCs w:val="32"/>
        </w:rPr>
      </w:pPr>
      <w:r>
        <w:rPr>
          <w:rFonts w:hint="eastAsia" w:eastAsia="仿宋_GB2312"/>
          <w:sz w:val="32"/>
          <w:szCs w:val="32"/>
        </w:rPr>
        <w:t>在预算项目执行过程中，由于部分项目为年度追加预算，资金下达可能在下半年，不利于本年度的项目开展，容易造成年底财政项目资金结余较多的情况。项目归属的业务部门及财务部门对项目情况了解不充分，不便于项目的顺畅开展及资金使用。</w:t>
      </w:r>
    </w:p>
    <w:p w14:paraId="52F81423">
      <w:pPr>
        <w:numPr>
          <w:ilvl w:val="0"/>
          <w:numId w:val="5"/>
        </w:numPr>
        <w:spacing w:line="600" w:lineRule="exact"/>
        <w:ind w:firstLine="640" w:firstLineChars="200"/>
        <w:rPr>
          <w:rFonts w:eastAsia="黑体"/>
          <w:sz w:val="32"/>
          <w:szCs w:val="32"/>
        </w:rPr>
      </w:pPr>
      <w:r>
        <w:rPr>
          <w:rFonts w:eastAsia="黑体"/>
          <w:sz w:val="32"/>
          <w:szCs w:val="32"/>
        </w:rPr>
        <w:t>有关建议</w:t>
      </w:r>
    </w:p>
    <w:p w14:paraId="12295A89">
      <w:pPr>
        <w:spacing w:line="600" w:lineRule="exact"/>
        <w:ind w:firstLine="640"/>
        <w:rPr>
          <w:rFonts w:eastAsia="仿宋_GB2312"/>
          <w:sz w:val="32"/>
          <w:szCs w:val="32"/>
        </w:rPr>
      </w:pPr>
      <w:r>
        <w:rPr>
          <w:rFonts w:hint="eastAsia" w:eastAsia="仿宋_GB2312"/>
          <w:sz w:val="32"/>
          <w:szCs w:val="32"/>
        </w:rPr>
        <w:t>建议进一步规范项目管理，在资金下达的同时尽可能细化会计核算科目，有助于资金使用的合规性审核。</w:t>
      </w:r>
    </w:p>
    <w:p w14:paraId="5782E8C0">
      <w:pPr>
        <w:spacing w:line="600" w:lineRule="exact"/>
        <w:ind w:firstLine="640"/>
        <w:rPr>
          <w:rFonts w:eastAsia="仿宋_GB2312"/>
          <w:sz w:val="32"/>
          <w:szCs w:val="32"/>
        </w:rPr>
      </w:pPr>
    </w:p>
    <w:p w14:paraId="5427E351">
      <w:pPr>
        <w:spacing w:line="600" w:lineRule="exact"/>
        <w:ind w:firstLine="640"/>
        <w:rPr>
          <w:rFonts w:eastAsia="仿宋_GB2312"/>
          <w:sz w:val="32"/>
          <w:szCs w:val="32"/>
        </w:rPr>
      </w:pPr>
      <w:r>
        <w:rPr>
          <w:rFonts w:hint="eastAsia" w:eastAsia="仿宋_GB2312"/>
          <w:sz w:val="32"/>
          <w:szCs w:val="32"/>
        </w:rPr>
        <w:t>　　　　　　　　　　　　</w:t>
      </w:r>
    </w:p>
    <w:p w14:paraId="194884E7">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6A2C"/>
    <w:multiLevelType w:val="singleLevel"/>
    <w:tmpl w:val="B9436A2C"/>
    <w:lvl w:ilvl="0" w:tentative="0">
      <w:start w:val="3"/>
      <w:numFmt w:val="chineseCounting"/>
      <w:suff w:val="nothing"/>
      <w:lvlText w:val="（%1）"/>
      <w:lvlJc w:val="left"/>
      <w:rPr>
        <w:rFonts w:hint="eastAsia"/>
      </w:rPr>
    </w:lvl>
  </w:abstractNum>
  <w:abstractNum w:abstractNumId="1">
    <w:nsid w:val="C25FC1A4"/>
    <w:multiLevelType w:val="singleLevel"/>
    <w:tmpl w:val="C25FC1A4"/>
    <w:lvl w:ilvl="0" w:tentative="0">
      <w:start w:val="3"/>
      <w:numFmt w:val="decimal"/>
      <w:lvlText w:val="%1."/>
      <w:lvlJc w:val="left"/>
      <w:pPr>
        <w:tabs>
          <w:tab w:val="left" w:pos="312"/>
        </w:tabs>
      </w:pPr>
    </w:lvl>
  </w:abstractNum>
  <w:abstractNum w:abstractNumId="2">
    <w:nsid w:val="DE684829"/>
    <w:multiLevelType w:val="singleLevel"/>
    <w:tmpl w:val="DE684829"/>
    <w:lvl w:ilvl="0" w:tentative="0">
      <w:start w:val="6"/>
      <w:numFmt w:val="chineseCounting"/>
      <w:suff w:val="nothing"/>
      <w:lvlText w:val="%1、"/>
      <w:lvlJc w:val="left"/>
      <w:rPr>
        <w:rFonts w:hint="eastAsia"/>
      </w:rPr>
    </w:lvl>
  </w:abstractNum>
  <w:abstractNum w:abstractNumId="3">
    <w:nsid w:val="E787016E"/>
    <w:multiLevelType w:val="singleLevel"/>
    <w:tmpl w:val="E787016E"/>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210FB"/>
    <w:rsid w:val="00152C6D"/>
    <w:rsid w:val="00162D39"/>
    <w:rsid w:val="001678BD"/>
    <w:rsid w:val="001A67DB"/>
    <w:rsid w:val="001C3C29"/>
    <w:rsid w:val="001D51E5"/>
    <w:rsid w:val="001E080D"/>
    <w:rsid w:val="001E53D0"/>
    <w:rsid w:val="001F0C3B"/>
    <w:rsid w:val="00202C82"/>
    <w:rsid w:val="00214427"/>
    <w:rsid w:val="00226CB7"/>
    <w:rsid w:val="0026324A"/>
    <w:rsid w:val="00264552"/>
    <w:rsid w:val="00264EF9"/>
    <w:rsid w:val="00265724"/>
    <w:rsid w:val="0027426B"/>
    <w:rsid w:val="002C76B1"/>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25A88"/>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50ED4"/>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04FBB"/>
    <w:rsid w:val="00C10681"/>
    <w:rsid w:val="00C3049A"/>
    <w:rsid w:val="00C31B1E"/>
    <w:rsid w:val="00C77645"/>
    <w:rsid w:val="00CB0E54"/>
    <w:rsid w:val="00CB2E9E"/>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40F35"/>
    <w:rsid w:val="00F74360"/>
    <w:rsid w:val="00F86FA9"/>
    <w:rsid w:val="00FB462F"/>
    <w:rsid w:val="00FE16FA"/>
    <w:rsid w:val="00FE328A"/>
    <w:rsid w:val="00FE6269"/>
    <w:rsid w:val="00FE7D08"/>
    <w:rsid w:val="00FF5CD6"/>
    <w:rsid w:val="112C2871"/>
    <w:rsid w:val="1E487620"/>
    <w:rsid w:val="1E606264"/>
    <w:rsid w:val="2C9E7CE8"/>
    <w:rsid w:val="52681487"/>
    <w:rsid w:val="69CB3C63"/>
    <w:rsid w:val="7C29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4702</Words>
  <Characters>5371</Characters>
  <Lines>40</Lines>
  <Paragraphs>11</Paragraphs>
  <TotalTime>29</TotalTime>
  <ScaleCrop>false</ScaleCrop>
  <LinksUpToDate>false</LinksUpToDate>
  <CharactersWithSpaces>5492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2022-09-07T03:57:00Z</dcterms:created>
  <dc:creator>李航 null</dc:creator>
  <cp:lastModifiedBy>李振茹</cp:lastModifiedBy>
  <cp:lastPrinted>2021-08-05T08:54:00Z</cp:lastPrinted>
  <dcterms:modified xsi:type="dcterms:W3CDTF">2024-09-03T08:01:06Z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0B11722BA88F45B6ACF92AF2E2D6F538_13</vt:lpwstr>
  </property>
</Properties>
</file>